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2C749" w14:textId="77777777" w:rsidR="003A19EC" w:rsidRPr="008166D7" w:rsidRDefault="003A19EC" w:rsidP="00C57517">
      <w:pPr>
        <w:jc w:val="center"/>
        <w:rPr>
          <w:sz w:val="24"/>
          <w:szCs w:val="24"/>
        </w:rPr>
      </w:pPr>
      <w:bookmarkStart w:id="0" w:name="_Hlk110851587"/>
      <w:bookmarkEnd w:id="0"/>
    </w:p>
    <w:p w14:paraId="7262C74A" w14:textId="77777777" w:rsidR="009164D9" w:rsidRPr="008166D7" w:rsidRDefault="00813998" w:rsidP="00C57517">
      <w:pPr>
        <w:jc w:val="center"/>
        <w:rPr>
          <w:sz w:val="24"/>
          <w:szCs w:val="24"/>
        </w:rPr>
      </w:pPr>
      <w:r w:rsidRPr="008166D7">
        <w:rPr>
          <w:rFonts w:eastAsia="Gadugi"/>
          <w:noProof/>
          <w:lang w:bidi="fr-CA"/>
        </w:rPr>
        <w:drawing>
          <wp:inline distT="0" distB="0" distL="0" distR="0" wp14:anchorId="4E574B0D" wp14:editId="05E71143">
            <wp:extent cx="4217472" cy="1003300"/>
            <wp:effectExtent l="0" t="0" r="0" b="635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4224023" cy="1004858"/>
                    </a:xfrm>
                    <a:prstGeom prst="rect">
                      <a:avLst/>
                    </a:prstGeom>
                  </pic:spPr>
                </pic:pic>
              </a:graphicData>
            </a:graphic>
          </wp:inline>
        </w:drawing>
      </w:r>
    </w:p>
    <w:p w14:paraId="7262C74B" w14:textId="77777777" w:rsidR="00623F02" w:rsidRPr="008166D7" w:rsidRDefault="00623F02" w:rsidP="00C57517">
      <w:pPr>
        <w:jc w:val="center"/>
        <w:rPr>
          <w:sz w:val="24"/>
          <w:szCs w:val="24"/>
        </w:rPr>
      </w:pPr>
    </w:p>
    <w:p w14:paraId="7262C74C" w14:textId="3F3A7F6C" w:rsidR="009164D9" w:rsidRPr="008166D7" w:rsidRDefault="00813998" w:rsidP="0064056E">
      <w:pPr>
        <w:jc w:val="right"/>
        <w:rPr>
          <w:sz w:val="24"/>
          <w:szCs w:val="24"/>
        </w:rPr>
      </w:pPr>
      <w:bookmarkStart w:id="1" w:name="Letter_to_Minister_Project_Permit_Constr"/>
      <w:bookmarkEnd w:id="1"/>
      <w:r w:rsidRPr="008166D7">
        <w:rPr>
          <w:rFonts w:eastAsia="Gadugi"/>
          <w:sz w:val="24"/>
          <w:lang w:bidi="fr-CA"/>
        </w:rPr>
        <w:t>18 </w:t>
      </w:r>
      <w:proofErr w:type="gramStart"/>
      <w:r w:rsidRPr="008166D7">
        <w:rPr>
          <w:rFonts w:eastAsia="Gadugi"/>
          <w:sz w:val="24"/>
          <w:lang w:bidi="fr-CA"/>
        </w:rPr>
        <w:t>ao</w:t>
      </w:r>
      <w:r w:rsidR="008166D7">
        <w:rPr>
          <w:rFonts w:eastAsia="Gadugi"/>
          <w:sz w:val="24"/>
          <w:lang w:bidi="fr-CA"/>
        </w:rPr>
        <w:t>u</w:t>
      </w:r>
      <w:r w:rsidRPr="008166D7">
        <w:rPr>
          <w:rFonts w:eastAsia="Gadugi"/>
          <w:sz w:val="24"/>
          <w:lang w:bidi="fr-CA"/>
        </w:rPr>
        <w:t>t</w:t>
      </w:r>
      <w:proofErr w:type="gramEnd"/>
      <w:r w:rsidRPr="008166D7">
        <w:rPr>
          <w:rFonts w:eastAsia="Gadugi"/>
          <w:sz w:val="24"/>
          <w:lang w:bidi="fr-CA"/>
        </w:rPr>
        <w:t> 2022</w:t>
      </w:r>
    </w:p>
    <w:p w14:paraId="7262C74D" w14:textId="77777777" w:rsidR="009164D9" w:rsidRPr="008166D7" w:rsidRDefault="009164D9" w:rsidP="0025654E">
      <w:pPr>
        <w:rPr>
          <w:sz w:val="24"/>
          <w:szCs w:val="24"/>
        </w:rPr>
      </w:pPr>
    </w:p>
    <w:p w14:paraId="7262C74E" w14:textId="77777777" w:rsidR="00AE1158" w:rsidRPr="008166D7" w:rsidRDefault="00813998" w:rsidP="00325A7D">
      <w:pPr>
        <w:rPr>
          <w:sz w:val="24"/>
          <w:szCs w:val="24"/>
        </w:rPr>
      </w:pPr>
      <w:r w:rsidRPr="008166D7">
        <w:rPr>
          <w:rFonts w:eastAsia="Gadugi"/>
          <w:sz w:val="24"/>
          <w:lang w:bidi="fr-CA"/>
        </w:rPr>
        <w:t xml:space="preserve">L’honorable Craig </w:t>
      </w:r>
      <w:proofErr w:type="spellStart"/>
      <w:r w:rsidRPr="008166D7">
        <w:rPr>
          <w:rFonts w:eastAsia="Gadugi"/>
          <w:sz w:val="24"/>
          <w:lang w:bidi="fr-CA"/>
        </w:rPr>
        <w:t>Simailak</w:t>
      </w:r>
      <w:proofErr w:type="spellEnd"/>
    </w:p>
    <w:p w14:paraId="7262C74F" w14:textId="77777777" w:rsidR="00AE1158" w:rsidRPr="008166D7" w:rsidRDefault="00813998" w:rsidP="00325A7D">
      <w:pPr>
        <w:rPr>
          <w:sz w:val="24"/>
          <w:szCs w:val="24"/>
        </w:rPr>
      </w:pPr>
      <w:r w:rsidRPr="008166D7">
        <w:rPr>
          <w:rFonts w:eastAsia="Gadugi"/>
          <w:sz w:val="24"/>
          <w:lang w:bidi="fr-CA"/>
        </w:rPr>
        <w:t>Ministre responsable de la Société d’énergie Qulliq</w:t>
      </w:r>
    </w:p>
    <w:p w14:paraId="7262C750" w14:textId="77777777" w:rsidR="009164D9" w:rsidRPr="008166D7" w:rsidRDefault="00813998" w:rsidP="00325A7D">
      <w:pPr>
        <w:rPr>
          <w:sz w:val="24"/>
          <w:szCs w:val="24"/>
        </w:rPr>
      </w:pPr>
      <w:r w:rsidRPr="008166D7">
        <w:rPr>
          <w:rFonts w:eastAsia="Gadugi"/>
          <w:sz w:val="24"/>
          <w:lang w:bidi="fr-CA"/>
        </w:rPr>
        <w:t>Assemblée législative du Nunavut</w:t>
      </w:r>
    </w:p>
    <w:p w14:paraId="7262C751" w14:textId="03ACFC5C" w:rsidR="00AE1158" w:rsidRPr="008166D7" w:rsidRDefault="00813998" w:rsidP="00AE1158">
      <w:pPr>
        <w:rPr>
          <w:spacing w:val="-64"/>
          <w:sz w:val="24"/>
          <w:szCs w:val="24"/>
        </w:rPr>
      </w:pPr>
      <w:r w:rsidRPr="008166D7">
        <w:rPr>
          <w:rFonts w:eastAsia="Gadugi"/>
          <w:sz w:val="24"/>
          <w:lang w:bidi="fr-CA"/>
        </w:rPr>
        <w:t>C.P.</w:t>
      </w:r>
      <w:r w:rsidR="00296C2D">
        <w:rPr>
          <w:rFonts w:eastAsia="Gadugi"/>
          <w:sz w:val="24"/>
          <w:lang w:bidi="fr-CA"/>
        </w:rPr>
        <w:t> </w:t>
      </w:r>
      <w:r w:rsidRPr="008166D7">
        <w:rPr>
          <w:rFonts w:eastAsia="Gadugi"/>
          <w:sz w:val="24"/>
          <w:lang w:bidi="fr-CA"/>
        </w:rPr>
        <w:t xml:space="preserve">2410 </w:t>
      </w:r>
    </w:p>
    <w:p w14:paraId="7262C752" w14:textId="2B90CFA7" w:rsidR="009164D9" w:rsidRPr="008166D7" w:rsidRDefault="00813998" w:rsidP="00AE1158">
      <w:pPr>
        <w:rPr>
          <w:sz w:val="24"/>
          <w:szCs w:val="24"/>
        </w:rPr>
      </w:pPr>
      <w:r w:rsidRPr="008166D7">
        <w:rPr>
          <w:rFonts w:eastAsia="Gadugi"/>
          <w:sz w:val="24"/>
          <w:lang w:bidi="fr-CA"/>
        </w:rPr>
        <w:t>Iqaluit (Nunavut) X0A 0H0</w:t>
      </w:r>
    </w:p>
    <w:p w14:paraId="7262C753" w14:textId="77777777" w:rsidR="009164D9" w:rsidRPr="008166D7" w:rsidRDefault="009164D9" w:rsidP="0064056E">
      <w:pPr>
        <w:rPr>
          <w:sz w:val="24"/>
          <w:szCs w:val="24"/>
        </w:rPr>
      </w:pPr>
    </w:p>
    <w:p w14:paraId="7262C754" w14:textId="77777777" w:rsidR="009164D9" w:rsidRPr="008166D7" w:rsidRDefault="00813998" w:rsidP="0064056E">
      <w:pPr>
        <w:rPr>
          <w:sz w:val="24"/>
          <w:szCs w:val="24"/>
          <w:lang w:val="fr-FR"/>
        </w:rPr>
      </w:pPr>
      <w:r w:rsidRPr="008166D7">
        <w:rPr>
          <w:rFonts w:eastAsia="Gadugi"/>
          <w:sz w:val="24"/>
          <w:lang w:bidi="fr-CA"/>
        </w:rPr>
        <w:t xml:space="preserve">Monsieur le ministre </w:t>
      </w:r>
      <w:proofErr w:type="spellStart"/>
      <w:r w:rsidRPr="008166D7">
        <w:rPr>
          <w:rFonts w:eastAsia="Gadugi"/>
          <w:sz w:val="24"/>
          <w:lang w:bidi="fr-CA"/>
        </w:rPr>
        <w:t>Simailak</w:t>
      </w:r>
      <w:proofErr w:type="spellEnd"/>
      <w:r w:rsidRPr="008166D7">
        <w:rPr>
          <w:rFonts w:eastAsia="Gadugi"/>
          <w:sz w:val="24"/>
          <w:lang w:bidi="fr-CA"/>
        </w:rPr>
        <w:t>,</w:t>
      </w:r>
    </w:p>
    <w:p w14:paraId="7262C755" w14:textId="77777777" w:rsidR="009164D9" w:rsidRPr="008166D7" w:rsidRDefault="009164D9" w:rsidP="0064056E">
      <w:pPr>
        <w:rPr>
          <w:sz w:val="24"/>
          <w:szCs w:val="24"/>
        </w:rPr>
      </w:pPr>
    </w:p>
    <w:p w14:paraId="7262C756" w14:textId="77777777" w:rsidR="009164D9" w:rsidRPr="008166D7" w:rsidRDefault="00813998" w:rsidP="002815EF">
      <w:pPr>
        <w:ind w:left="567" w:hanging="567"/>
        <w:jc w:val="both"/>
        <w:rPr>
          <w:sz w:val="24"/>
          <w:szCs w:val="24"/>
        </w:rPr>
      </w:pPr>
      <w:r w:rsidRPr="008166D7">
        <w:rPr>
          <w:rFonts w:eastAsia="Gadugi"/>
          <w:sz w:val="24"/>
          <w:lang w:bidi="fr-CA"/>
        </w:rPr>
        <w:t>Objet :</w:t>
      </w:r>
      <w:r w:rsidRPr="008166D7">
        <w:rPr>
          <w:rFonts w:eastAsia="Gadugi"/>
          <w:sz w:val="24"/>
          <w:lang w:bidi="fr-CA"/>
        </w:rPr>
        <w:tab/>
        <w:t>Requête en majoration tarifaire générale 2022-2023, Rapport de février 2022 du Conseil d’examen des taux des entreprises de service au Nunavut.</w:t>
      </w:r>
    </w:p>
    <w:p w14:paraId="7262C757" w14:textId="77777777" w:rsidR="009164D9" w:rsidRPr="008166D7" w:rsidRDefault="009164D9" w:rsidP="0064056E">
      <w:pPr>
        <w:rPr>
          <w:sz w:val="24"/>
          <w:szCs w:val="24"/>
        </w:rPr>
      </w:pPr>
    </w:p>
    <w:p w14:paraId="7262C758" w14:textId="280C09EC" w:rsidR="009164D9" w:rsidRPr="008166D7" w:rsidRDefault="00813998" w:rsidP="009A3138">
      <w:pPr>
        <w:jc w:val="both"/>
        <w:rPr>
          <w:sz w:val="24"/>
          <w:szCs w:val="24"/>
        </w:rPr>
      </w:pPr>
      <w:r w:rsidRPr="008166D7">
        <w:rPr>
          <w:rFonts w:eastAsia="Gadugi"/>
          <w:sz w:val="24"/>
          <w:lang w:bidi="fr-CA"/>
        </w:rPr>
        <w:t>Dans une lettre datée du 24 mars 2022, la Société d’énergie Qulliq (SÉQ) a demandé au ministre responsable de la SÉQ d’approuver les besoins en revenus prévus de la SÉQ pour l’exercice de référence 2022-2023, soit 144,015 millions de dollars, et la transition de la structure du tarif actuel à une structure tarifaire uniformisée à l’échelle du Nunavut. Le montant à percevoir auprès des clients au moyen des tarifs à l’échelle du Nunavut devrait s’élever à 141,504 millions de dollars (c.-à-d. des besoins de revenus de 144,015 millions de dollars moins des revenus non liés à l’électricité de 2,511 millions de dollars). Dans une lettre datée du 24 mars 2022, le ministre responsable de la SÉQ a demandé l’avis du Conseil d’examen des taux des entreprises de service au Nunavut (CETES) quant à la demande de la SÉQ.</w:t>
      </w:r>
    </w:p>
    <w:p w14:paraId="7262C759" w14:textId="77777777" w:rsidR="009164D9" w:rsidRPr="008166D7" w:rsidRDefault="009164D9" w:rsidP="009A3138">
      <w:pPr>
        <w:jc w:val="both"/>
        <w:rPr>
          <w:sz w:val="24"/>
          <w:szCs w:val="24"/>
        </w:rPr>
      </w:pPr>
    </w:p>
    <w:p w14:paraId="7262C75A" w14:textId="77777777" w:rsidR="009164D9" w:rsidRPr="008166D7" w:rsidRDefault="00813998" w:rsidP="00EC3520">
      <w:pPr>
        <w:jc w:val="both"/>
        <w:rPr>
          <w:sz w:val="24"/>
          <w:szCs w:val="24"/>
        </w:rPr>
      </w:pPr>
      <w:r w:rsidRPr="008166D7">
        <w:rPr>
          <w:rFonts w:eastAsia="Gadugi"/>
          <w:sz w:val="24"/>
          <w:lang w:bidi="fr-CA"/>
        </w:rPr>
        <w:t>En réponse à cette demande et à la requête du ministre, vous trouverez en annexe le rapport du CETES de février 2022 concernant la requête en majoration tarifaire générale de la SÉQ.</w:t>
      </w:r>
    </w:p>
    <w:p w14:paraId="7262C75B" w14:textId="77777777" w:rsidR="009164D9" w:rsidRPr="008166D7" w:rsidRDefault="009164D9" w:rsidP="0064056E">
      <w:pPr>
        <w:rPr>
          <w:sz w:val="24"/>
          <w:szCs w:val="24"/>
        </w:rPr>
      </w:pPr>
    </w:p>
    <w:p w14:paraId="7262C75E" w14:textId="31F5206D" w:rsidR="001A434E" w:rsidRPr="008166D7" w:rsidRDefault="00813998" w:rsidP="0064056E">
      <w:pPr>
        <w:rPr>
          <w:sz w:val="24"/>
          <w:szCs w:val="24"/>
        </w:rPr>
      </w:pPr>
      <w:r w:rsidRPr="008166D7">
        <w:rPr>
          <w:rFonts w:eastAsia="Gadugi"/>
          <w:sz w:val="24"/>
          <w:lang w:bidi="fr-CA"/>
        </w:rPr>
        <w:t>Nous vous remercions de l’attention que vous porterez aux présentes.</w:t>
      </w:r>
    </w:p>
    <w:p w14:paraId="7262C760" w14:textId="5E5628BF" w:rsidR="00E426A6" w:rsidRPr="008166D7" w:rsidRDefault="00A079A4" w:rsidP="0064056E">
      <w:pPr>
        <w:rPr>
          <w:sz w:val="24"/>
          <w:szCs w:val="24"/>
        </w:rPr>
      </w:pPr>
      <w:r w:rsidRPr="008166D7">
        <w:rPr>
          <w:rFonts w:eastAsia="Gadugi"/>
          <w:noProof/>
          <w:sz w:val="24"/>
          <w:lang w:bidi="fr-CA"/>
        </w:rPr>
        <w:drawing>
          <wp:inline distT="0" distB="0" distL="0" distR="0" wp14:anchorId="2A661D53" wp14:editId="043E726A">
            <wp:extent cx="2286000" cy="635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
                      <a:extLst>
                        <a:ext uri="{28A0092B-C50C-407E-A947-70E740481C1C}">
                          <a14:useLocalDpi xmlns:a14="http://schemas.microsoft.com/office/drawing/2010/main" val="0"/>
                        </a:ext>
                      </a:extLst>
                    </a:blip>
                    <a:stretch>
                      <a:fillRect/>
                    </a:stretch>
                  </pic:blipFill>
                  <pic:spPr>
                    <a:xfrm>
                      <a:off x="0" y="0"/>
                      <a:ext cx="2286000" cy="635000"/>
                    </a:xfrm>
                    <a:prstGeom prst="rect">
                      <a:avLst/>
                    </a:prstGeom>
                  </pic:spPr>
                </pic:pic>
              </a:graphicData>
            </a:graphic>
          </wp:inline>
        </w:drawing>
      </w:r>
    </w:p>
    <w:p w14:paraId="7262C761" w14:textId="77777777" w:rsidR="001A434E" w:rsidRPr="008166D7" w:rsidRDefault="001A434E" w:rsidP="0064056E">
      <w:pPr>
        <w:rPr>
          <w:sz w:val="24"/>
          <w:szCs w:val="24"/>
        </w:rPr>
      </w:pPr>
    </w:p>
    <w:p w14:paraId="7262C762" w14:textId="212D0ADC" w:rsidR="000D7E6B" w:rsidRPr="008166D7" w:rsidRDefault="00813998" w:rsidP="0064056E">
      <w:pPr>
        <w:rPr>
          <w:sz w:val="24"/>
          <w:szCs w:val="24"/>
        </w:rPr>
      </w:pPr>
      <w:r w:rsidRPr="008166D7">
        <w:rPr>
          <w:rFonts w:eastAsia="Gadugi"/>
          <w:sz w:val="24"/>
          <w:lang w:bidi="fr-CA"/>
        </w:rPr>
        <w:t>Graham Lock, vice-président</w:t>
      </w:r>
    </w:p>
    <w:p w14:paraId="7262C763" w14:textId="77777777" w:rsidR="009164D9" w:rsidRPr="008166D7" w:rsidRDefault="00813998" w:rsidP="0064056E">
      <w:pPr>
        <w:rPr>
          <w:sz w:val="24"/>
          <w:szCs w:val="24"/>
        </w:rPr>
      </w:pPr>
      <w:r w:rsidRPr="008166D7">
        <w:rPr>
          <w:rFonts w:eastAsia="Gadugi"/>
          <w:sz w:val="24"/>
          <w:lang w:bidi="fr-CA"/>
        </w:rPr>
        <w:t>Conseil d’examen des taux des entreprises de service du Nunavut</w:t>
      </w:r>
    </w:p>
    <w:p w14:paraId="7262C764" w14:textId="77777777" w:rsidR="009164D9" w:rsidRPr="008166D7" w:rsidRDefault="009164D9" w:rsidP="0064056E">
      <w:pPr>
        <w:rPr>
          <w:sz w:val="24"/>
          <w:szCs w:val="24"/>
        </w:rPr>
      </w:pPr>
    </w:p>
    <w:p w14:paraId="7262C765" w14:textId="77777777" w:rsidR="009164D9" w:rsidRPr="008166D7" w:rsidRDefault="00813998" w:rsidP="006A48A0">
      <w:pPr>
        <w:tabs>
          <w:tab w:val="left" w:pos="720"/>
        </w:tabs>
        <w:spacing w:line="276" w:lineRule="exact"/>
      </w:pPr>
      <w:r w:rsidRPr="008166D7">
        <w:rPr>
          <w:rFonts w:eastAsia="Gadugi"/>
          <w:lang w:bidi="fr-CA"/>
        </w:rPr>
        <w:t>CC :</w:t>
      </w:r>
      <w:r w:rsidRPr="008166D7">
        <w:rPr>
          <w:rFonts w:eastAsia="Gadugi"/>
          <w:sz w:val="24"/>
          <w:lang w:bidi="fr-CA"/>
        </w:rPr>
        <w:tab/>
      </w:r>
      <w:r w:rsidRPr="008166D7">
        <w:rPr>
          <w:rFonts w:eastAsia="Gadugi"/>
          <w:lang w:bidi="fr-CA"/>
        </w:rPr>
        <w:t xml:space="preserve">Le premier ministre P.J. </w:t>
      </w:r>
      <w:proofErr w:type="spellStart"/>
      <w:r w:rsidRPr="008166D7">
        <w:rPr>
          <w:rFonts w:eastAsia="Gadugi"/>
          <w:lang w:bidi="fr-CA"/>
        </w:rPr>
        <w:t>Akeeagok</w:t>
      </w:r>
      <w:proofErr w:type="spellEnd"/>
      <w:r w:rsidRPr="008166D7">
        <w:rPr>
          <w:rFonts w:eastAsia="Gadugi"/>
          <w:lang w:bidi="fr-CA"/>
        </w:rPr>
        <w:t>, ministre responsable du CETES</w:t>
      </w:r>
    </w:p>
    <w:p w14:paraId="7262C766" w14:textId="77777777" w:rsidR="00384AB3" w:rsidRPr="008166D7" w:rsidRDefault="00813998" w:rsidP="006A48A0">
      <w:pPr>
        <w:ind w:left="720"/>
        <w:rPr>
          <w:spacing w:val="-59"/>
        </w:rPr>
      </w:pPr>
      <w:r w:rsidRPr="008166D7">
        <w:rPr>
          <w:rFonts w:eastAsia="Gadugi"/>
          <w:lang w:bidi="fr-CA"/>
        </w:rPr>
        <w:t xml:space="preserve">Jimi </w:t>
      </w:r>
      <w:proofErr w:type="spellStart"/>
      <w:r w:rsidRPr="008166D7">
        <w:rPr>
          <w:rFonts w:eastAsia="Gadugi"/>
          <w:lang w:bidi="fr-CA"/>
        </w:rPr>
        <w:t>Onalik</w:t>
      </w:r>
      <w:proofErr w:type="spellEnd"/>
      <w:r w:rsidRPr="008166D7">
        <w:rPr>
          <w:rFonts w:eastAsia="Gadugi"/>
          <w:lang w:bidi="fr-CA"/>
        </w:rPr>
        <w:t xml:space="preserve">, sous-ministre, Exécutif et Affaires intergouvernementales </w:t>
      </w:r>
    </w:p>
    <w:p w14:paraId="7262C767" w14:textId="77777777" w:rsidR="00384AB3" w:rsidRPr="008166D7" w:rsidRDefault="00813998" w:rsidP="006A48A0">
      <w:pPr>
        <w:ind w:left="720"/>
      </w:pPr>
      <w:r w:rsidRPr="008166D7">
        <w:rPr>
          <w:rFonts w:eastAsia="Gadugi"/>
          <w:lang w:bidi="fr-CA"/>
        </w:rPr>
        <w:t>Rick Hunt, président de la Société d’énergie Qulliq</w:t>
      </w:r>
    </w:p>
    <w:p w14:paraId="7262C768" w14:textId="77777777" w:rsidR="009164D9" w:rsidRPr="008166D7" w:rsidRDefault="00813998" w:rsidP="006A48A0">
      <w:pPr>
        <w:ind w:left="720"/>
      </w:pPr>
      <w:r w:rsidRPr="008166D7">
        <w:rPr>
          <w:rFonts w:eastAsia="Gadugi"/>
          <w:lang w:bidi="fr-CA"/>
        </w:rPr>
        <w:t>Laurie-Anne White, directrice générale, CETES</w:t>
      </w:r>
    </w:p>
    <w:p w14:paraId="7262C769" w14:textId="77777777" w:rsidR="001A434E" w:rsidRPr="008166D7" w:rsidRDefault="001A434E" w:rsidP="0025654E"/>
    <w:p w14:paraId="7262C76A" w14:textId="77777777" w:rsidR="009164D9" w:rsidRPr="008166D7" w:rsidRDefault="00813998" w:rsidP="0025654E">
      <w:r w:rsidRPr="008166D7">
        <w:rPr>
          <w:rFonts w:eastAsia="Gadugi"/>
          <w:noProof/>
          <w:lang w:bidi="fr-CA"/>
        </w:rPr>
        <mc:AlternateContent>
          <mc:Choice Requires="wps">
            <w:drawing>
              <wp:anchor distT="0" distB="0" distL="0" distR="0" simplePos="0" relativeHeight="251658240" behindDoc="1" locked="0" layoutInCell="1" allowOverlap="1" wp14:anchorId="0C8DDB29" wp14:editId="391D60A1">
                <wp:simplePos x="0" y="0"/>
                <wp:positionH relativeFrom="page">
                  <wp:posOffset>965200</wp:posOffset>
                </wp:positionH>
                <wp:positionV relativeFrom="paragraph">
                  <wp:posOffset>216535</wp:posOffset>
                </wp:positionV>
                <wp:extent cx="5829300" cy="12700"/>
                <wp:effectExtent l="0" t="0" r="0" b="0"/>
                <wp:wrapTopAndBottom/>
                <wp:docPr id="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12700"/>
                        </a:xfrm>
                        <a:prstGeom prst="line">
                          <a:avLst/>
                        </a:prstGeom>
                        <a:noFill/>
                        <a:ln w="12700">
                          <a:solidFill>
                            <a:srgbClr val="0092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1E392B" id="Line 3"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6pt,17.05pt" to="5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" strokecolor="#0092d5" strokeweight="1pt">
                <w10:wrap type="topAndBottom" anchorx="page"/>
              </v:line>
            </w:pict>
          </mc:Fallback>
        </mc:AlternateContent>
      </w:r>
    </w:p>
    <w:p w14:paraId="7262C76B" w14:textId="0183F52B" w:rsidR="009164D9" w:rsidRPr="008166D7" w:rsidRDefault="00813998" w:rsidP="007213AA">
      <w:pPr>
        <w:spacing w:before="120"/>
        <w:ind w:left="346"/>
      </w:pPr>
      <w:r w:rsidRPr="008166D7">
        <w:rPr>
          <w:rFonts w:eastAsia="Gadugi"/>
          <w:color w:val="0070C0"/>
          <w:lang w:bidi="fr-CA"/>
        </w:rPr>
        <w:lastRenderedPageBreak/>
        <w:t>C.P. C.P.</w:t>
      </w:r>
      <w:r w:rsidR="00296C2D">
        <w:rPr>
          <w:rFonts w:eastAsia="Gadugi"/>
          <w:color w:val="0070C0"/>
          <w:lang w:bidi="fr-CA"/>
        </w:rPr>
        <w:t> </w:t>
      </w:r>
      <w:r w:rsidRPr="008166D7">
        <w:rPr>
          <w:rFonts w:eastAsia="Gadugi"/>
          <w:color w:val="0070C0"/>
          <w:lang w:bidi="fr-CA"/>
        </w:rPr>
        <w:t xml:space="preserve">1000, SUCCURSALE 200, IQALUIT, NU X0A 0H0, </w:t>
      </w:r>
      <w:hyperlink r:id="rId13" w:history="1">
        <w:r w:rsidRPr="008166D7">
          <w:rPr>
            <w:rFonts w:eastAsia="Gadugi"/>
            <w:color w:val="0070C0"/>
            <w:lang w:bidi="fr-CA"/>
          </w:rPr>
          <w:t xml:space="preserve">URRC@GOV.NU.CA </w:t>
        </w:r>
      </w:hyperlink>
      <w:hyperlink r:id="rId14" w:history="1">
        <w:r w:rsidRPr="008166D7">
          <w:rPr>
            <w:rFonts w:eastAsia="Gadugi"/>
            <w:color w:val="0070C0"/>
            <w:lang w:bidi="fr-CA"/>
          </w:rPr>
          <w:t>www.CETES.gov.nu.ca</w:t>
        </w:r>
      </w:hyperlink>
    </w:p>
    <w:p w14:paraId="7262C76C" w14:textId="77777777" w:rsidR="00DC7B64" w:rsidRPr="008166D7" w:rsidRDefault="00DC7B64">
      <w:pPr>
        <w:sectPr w:rsidR="00DC7B64" w:rsidRPr="008166D7" w:rsidSect="00E8185B">
          <w:pgSz w:w="12240" w:h="15840"/>
          <w:pgMar w:top="1440" w:right="1440" w:bottom="720" w:left="1440" w:header="720" w:footer="720" w:gutter="0"/>
          <w:cols w:space="720"/>
        </w:sectPr>
      </w:pPr>
    </w:p>
    <w:p w14:paraId="7262C76D" w14:textId="77777777" w:rsidR="009164D9" w:rsidRPr="008166D7" w:rsidRDefault="00813998" w:rsidP="00E74BC4">
      <w:pPr>
        <w:jc w:val="center"/>
      </w:pPr>
      <w:r w:rsidRPr="008166D7">
        <w:rPr>
          <w:rFonts w:eastAsia="Gadugi"/>
          <w:noProof/>
          <w:lang w:bidi="fr-CA"/>
        </w:rPr>
        <w:lastRenderedPageBreak/>
        <w:drawing>
          <wp:inline distT="0" distB="0" distL="0" distR="0" wp14:anchorId="3710C4D3" wp14:editId="4A2ADE95">
            <wp:extent cx="5629524" cy="2017501"/>
            <wp:effectExtent l="0" t="0" r="0" b="1905"/>
            <wp:docPr id="5" name="image3.jpeg" descr="UR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04694" name="image3.jpeg"/>
                    <pic:cNvPicPr/>
                  </pic:nvPicPr>
                  <pic:blipFill>
                    <a:blip r:embed="rId15" cstate="print"/>
                    <a:stretch>
                      <a:fillRect/>
                    </a:stretch>
                  </pic:blipFill>
                  <pic:spPr>
                    <a:xfrm>
                      <a:off x="0" y="0"/>
                      <a:ext cx="5633397" cy="2018889"/>
                    </a:xfrm>
                    <a:prstGeom prst="rect">
                      <a:avLst/>
                    </a:prstGeom>
                  </pic:spPr>
                </pic:pic>
              </a:graphicData>
            </a:graphic>
          </wp:inline>
        </w:drawing>
      </w:r>
    </w:p>
    <w:p w14:paraId="7262C76E" w14:textId="77777777" w:rsidR="009164D9" w:rsidRPr="008166D7" w:rsidRDefault="009164D9" w:rsidP="0025654E">
      <w:pPr>
        <w:rPr>
          <w:sz w:val="24"/>
          <w:szCs w:val="24"/>
        </w:rPr>
      </w:pPr>
    </w:p>
    <w:p w14:paraId="7262C76F" w14:textId="77777777" w:rsidR="005C1E4D" w:rsidRPr="008166D7" w:rsidRDefault="005C1E4D" w:rsidP="0025654E">
      <w:pPr>
        <w:rPr>
          <w:sz w:val="24"/>
          <w:szCs w:val="24"/>
        </w:rPr>
      </w:pPr>
    </w:p>
    <w:p w14:paraId="7262C770" w14:textId="77777777" w:rsidR="005C1E4D" w:rsidRPr="008166D7" w:rsidRDefault="005C1E4D" w:rsidP="0025654E">
      <w:pPr>
        <w:rPr>
          <w:sz w:val="24"/>
          <w:szCs w:val="24"/>
        </w:rPr>
      </w:pPr>
    </w:p>
    <w:p w14:paraId="7262C771" w14:textId="77777777" w:rsidR="007F718F" w:rsidRPr="008166D7" w:rsidRDefault="007F718F" w:rsidP="0025654E">
      <w:pPr>
        <w:rPr>
          <w:sz w:val="24"/>
          <w:szCs w:val="24"/>
        </w:rPr>
      </w:pPr>
    </w:p>
    <w:p w14:paraId="7262C772" w14:textId="77777777" w:rsidR="009164D9" w:rsidRPr="008166D7" w:rsidRDefault="00813998" w:rsidP="001627DC">
      <w:pPr>
        <w:jc w:val="center"/>
        <w:rPr>
          <w:b/>
          <w:bCs/>
          <w:sz w:val="28"/>
          <w:szCs w:val="28"/>
        </w:rPr>
      </w:pPr>
      <w:bookmarkStart w:id="2" w:name="Report_to_the_Minister_Responsible_for_t"/>
      <w:bookmarkEnd w:id="2"/>
      <w:r w:rsidRPr="008166D7">
        <w:rPr>
          <w:rFonts w:eastAsia="Gadugi"/>
          <w:b/>
          <w:sz w:val="28"/>
          <w:lang w:bidi="fr-CA"/>
        </w:rPr>
        <w:t>Rapport au ministre responsable de la Société d’énergie Qulliq portant sur la</w:t>
      </w:r>
    </w:p>
    <w:p w14:paraId="7262C773" w14:textId="77777777" w:rsidR="009164D9" w:rsidRPr="008166D7" w:rsidRDefault="009164D9" w:rsidP="00E74BC4">
      <w:pPr>
        <w:jc w:val="center"/>
        <w:rPr>
          <w:b/>
          <w:bCs/>
          <w:sz w:val="28"/>
          <w:szCs w:val="28"/>
        </w:rPr>
      </w:pPr>
    </w:p>
    <w:p w14:paraId="7262C774" w14:textId="2E251418" w:rsidR="009164D9" w:rsidRPr="008166D7" w:rsidRDefault="00813998" w:rsidP="000D1638">
      <w:pPr>
        <w:jc w:val="center"/>
        <w:rPr>
          <w:b/>
          <w:bCs/>
          <w:sz w:val="28"/>
          <w:szCs w:val="28"/>
        </w:rPr>
      </w:pPr>
      <w:r w:rsidRPr="008166D7">
        <w:rPr>
          <w:rFonts w:eastAsia="Gadugi"/>
          <w:b/>
          <w:sz w:val="28"/>
          <w:lang w:bidi="fr-CA"/>
        </w:rPr>
        <w:t>Requête en majoration tarifaire générale</w:t>
      </w:r>
      <w:r w:rsidR="00296C2D">
        <w:rPr>
          <w:rFonts w:eastAsia="Gadugi"/>
          <w:b/>
          <w:sz w:val="28"/>
          <w:lang w:bidi="fr-CA"/>
        </w:rPr>
        <w:t> </w:t>
      </w:r>
      <w:r w:rsidRPr="008166D7">
        <w:rPr>
          <w:rFonts w:eastAsia="Gadugi"/>
          <w:b/>
          <w:sz w:val="28"/>
          <w:lang w:bidi="fr-CA"/>
        </w:rPr>
        <w:t>2022-2023</w:t>
      </w:r>
    </w:p>
    <w:p w14:paraId="7262C775" w14:textId="77777777" w:rsidR="009164D9" w:rsidRPr="008166D7" w:rsidRDefault="009164D9" w:rsidP="007F718F">
      <w:pPr>
        <w:jc w:val="center"/>
        <w:rPr>
          <w:b/>
          <w:bCs/>
          <w:sz w:val="28"/>
          <w:szCs w:val="28"/>
        </w:rPr>
      </w:pPr>
    </w:p>
    <w:p w14:paraId="7262C776" w14:textId="77777777" w:rsidR="009164D9" w:rsidRPr="008166D7" w:rsidRDefault="009164D9" w:rsidP="007F718F">
      <w:pPr>
        <w:jc w:val="center"/>
        <w:rPr>
          <w:b/>
          <w:bCs/>
          <w:sz w:val="28"/>
          <w:szCs w:val="28"/>
        </w:rPr>
      </w:pPr>
    </w:p>
    <w:p w14:paraId="7262C777" w14:textId="77777777" w:rsidR="009164D9" w:rsidRPr="008166D7" w:rsidRDefault="00813998" w:rsidP="007F718F">
      <w:pPr>
        <w:jc w:val="center"/>
        <w:rPr>
          <w:b/>
          <w:bCs/>
          <w:sz w:val="28"/>
          <w:szCs w:val="28"/>
        </w:rPr>
      </w:pPr>
      <w:r w:rsidRPr="008166D7">
        <w:rPr>
          <w:rFonts w:eastAsia="Gadugi"/>
          <w:b/>
          <w:sz w:val="28"/>
          <w:lang w:bidi="fr-CA"/>
        </w:rPr>
        <w:t>Rapport de février 2022</w:t>
      </w:r>
    </w:p>
    <w:p w14:paraId="7262C778" w14:textId="77777777" w:rsidR="009164D9" w:rsidRPr="008166D7" w:rsidRDefault="009164D9" w:rsidP="007F718F">
      <w:pPr>
        <w:jc w:val="center"/>
        <w:rPr>
          <w:b/>
          <w:bCs/>
          <w:sz w:val="28"/>
          <w:szCs w:val="28"/>
        </w:rPr>
      </w:pPr>
    </w:p>
    <w:p w14:paraId="7262C779" w14:textId="77777777" w:rsidR="009164D9" w:rsidRPr="008166D7" w:rsidRDefault="009164D9" w:rsidP="007F718F">
      <w:pPr>
        <w:jc w:val="center"/>
        <w:rPr>
          <w:b/>
          <w:bCs/>
          <w:sz w:val="28"/>
          <w:szCs w:val="28"/>
        </w:rPr>
      </w:pPr>
    </w:p>
    <w:p w14:paraId="7262C77A" w14:textId="77777777" w:rsidR="00A9169D" w:rsidRPr="008166D7" w:rsidRDefault="00A9169D" w:rsidP="007F718F">
      <w:pPr>
        <w:jc w:val="center"/>
        <w:rPr>
          <w:b/>
          <w:bCs/>
          <w:sz w:val="28"/>
          <w:szCs w:val="28"/>
        </w:rPr>
      </w:pPr>
    </w:p>
    <w:p w14:paraId="7262C77B" w14:textId="77777777" w:rsidR="00A9169D" w:rsidRPr="008166D7" w:rsidRDefault="00A9169D" w:rsidP="007F718F">
      <w:pPr>
        <w:jc w:val="center"/>
        <w:rPr>
          <w:b/>
          <w:bCs/>
          <w:sz w:val="28"/>
          <w:szCs w:val="28"/>
        </w:rPr>
      </w:pPr>
    </w:p>
    <w:p w14:paraId="7262C77C" w14:textId="77777777" w:rsidR="009164D9" w:rsidRPr="008166D7" w:rsidRDefault="009164D9" w:rsidP="007F718F">
      <w:pPr>
        <w:jc w:val="center"/>
        <w:rPr>
          <w:b/>
          <w:bCs/>
          <w:sz w:val="28"/>
          <w:szCs w:val="28"/>
        </w:rPr>
      </w:pPr>
    </w:p>
    <w:p w14:paraId="7262C77D" w14:textId="77777777" w:rsidR="009164D9" w:rsidRPr="008166D7" w:rsidRDefault="009164D9" w:rsidP="0025654E">
      <w:pPr>
        <w:rPr>
          <w:sz w:val="28"/>
          <w:szCs w:val="28"/>
        </w:rPr>
      </w:pPr>
    </w:p>
    <w:p w14:paraId="7262C77E" w14:textId="77777777" w:rsidR="009164D9" w:rsidRPr="008166D7" w:rsidRDefault="009164D9" w:rsidP="0025654E">
      <w:pPr>
        <w:rPr>
          <w:sz w:val="28"/>
          <w:szCs w:val="28"/>
        </w:rPr>
      </w:pPr>
    </w:p>
    <w:p w14:paraId="7262C77F" w14:textId="5A99DB73" w:rsidR="009164D9" w:rsidRPr="008166D7" w:rsidRDefault="00813998" w:rsidP="00BF1BEC">
      <w:pPr>
        <w:jc w:val="center"/>
        <w:rPr>
          <w:b/>
          <w:bCs/>
          <w:sz w:val="28"/>
          <w:szCs w:val="28"/>
        </w:rPr>
      </w:pPr>
      <w:r w:rsidRPr="008166D7">
        <w:rPr>
          <w:rFonts w:eastAsia="Gadugi"/>
          <w:b/>
          <w:sz w:val="28"/>
          <w:lang w:bidi="fr-CA"/>
        </w:rPr>
        <w:t>18 </w:t>
      </w:r>
      <w:proofErr w:type="gramStart"/>
      <w:r w:rsidRPr="008166D7">
        <w:rPr>
          <w:rFonts w:eastAsia="Gadugi"/>
          <w:b/>
          <w:sz w:val="28"/>
          <w:lang w:bidi="fr-CA"/>
        </w:rPr>
        <w:t>ao</w:t>
      </w:r>
      <w:r w:rsidR="008166D7">
        <w:rPr>
          <w:rFonts w:eastAsia="Gadugi"/>
          <w:b/>
          <w:sz w:val="28"/>
          <w:lang w:bidi="fr-CA"/>
        </w:rPr>
        <w:t>u</w:t>
      </w:r>
      <w:r w:rsidRPr="008166D7">
        <w:rPr>
          <w:rFonts w:eastAsia="Gadugi"/>
          <w:b/>
          <w:sz w:val="28"/>
          <w:lang w:bidi="fr-CA"/>
        </w:rPr>
        <w:t>t</w:t>
      </w:r>
      <w:proofErr w:type="gramEnd"/>
      <w:r w:rsidRPr="008166D7">
        <w:rPr>
          <w:rFonts w:eastAsia="Gadugi"/>
          <w:b/>
          <w:sz w:val="28"/>
          <w:lang w:bidi="fr-CA"/>
        </w:rPr>
        <w:t> 2022</w:t>
      </w:r>
    </w:p>
    <w:p w14:paraId="7262C780" w14:textId="77777777" w:rsidR="009164D9" w:rsidRPr="008166D7" w:rsidRDefault="009164D9"/>
    <w:p w14:paraId="7262C781" w14:textId="77777777" w:rsidR="004F010B" w:rsidRPr="008166D7" w:rsidRDefault="004F010B"/>
    <w:p w14:paraId="7262C782" w14:textId="77777777" w:rsidR="0007225B" w:rsidRPr="008166D7" w:rsidRDefault="0007225B">
      <w:pPr>
        <w:sectPr w:rsidR="0007225B" w:rsidRPr="008166D7" w:rsidSect="004B0C65">
          <w:headerReference w:type="default" r:id="rId16"/>
          <w:footerReference w:type="default" r:id="rId17"/>
          <w:pgSz w:w="12240" w:h="15840"/>
          <w:pgMar w:top="1440" w:right="1440" w:bottom="720" w:left="1440" w:header="720" w:footer="720" w:gutter="0"/>
          <w:pgNumType w:start="1"/>
          <w:cols w:space="720"/>
          <w:titlePg/>
          <w:docGrid w:linePitch="299"/>
        </w:sectPr>
      </w:pPr>
    </w:p>
    <w:p w14:paraId="7262C783" w14:textId="77777777" w:rsidR="004F010B" w:rsidRPr="008166D7" w:rsidRDefault="00813998" w:rsidP="00CC1520">
      <w:pPr>
        <w:pStyle w:val="Heading1URRC"/>
        <w:rPr>
          <w:rFonts w:ascii="Times New Roman" w:hAnsi="Times New Roman"/>
        </w:rPr>
      </w:pPr>
      <w:r w:rsidRPr="008166D7">
        <w:rPr>
          <w:rFonts w:ascii="Times New Roman" w:eastAsia="Gadugi" w:hAnsi="Times New Roman"/>
          <w:lang w:bidi="fr-CA"/>
        </w:rPr>
        <w:lastRenderedPageBreak/>
        <w:t>RÉSUMÉ</w:t>
      </w:r>
    </w:p>
    <w:p w14:paraId="7262C784" w14:textId="67F99CD8" w:rsidR="004F010B" w:rsidRPr="008166D7" w:rsidRDefault="00813998" w:rsidP="00144A6D">
      <w:pPr>
        <w:pStyle w:val="Corpsdetexte"/>
      </w:pPr>
      <w:r w:rsidRPr="008166D7">
        <w:rPr>
          <w:rFonts w:eastAsia="Gadugi"/>
          <w:lang w:bidi="fr-CA"/>
        </w:rPr>
        <w:t>La SÉQ, à titre d’entreprise de services désignée, est tenue, conformément au paragraphe</w:t>
      </w:r>
      <w:r w:rsidR="00296C2D">
        <w:rPr>
          <w:rFonts w:eastAsia="Gadugi"/>
          <w:lang w:bidi="fr-CA"/>
        </w:rPr>
        <w:t> </w:t>
      </w:r>
      <w:r w:rsidRPr="008166D7">
        <w:rPr>
          <w:rFonts w:eastAsia="Gadugi"/>
          <w:lang w:bidi="fr-CA"/>
        </w:rPr>
        <w:t xml:space="preserve">12 de la </w:t>
      </w:r>
      <w:r w:rsidRPr="008166D7">
        <w:rPr>
          <w:rFonts w:eastAsia="Gadugi"/>
          <w:i/>
          <w:lang w:bidi="fr-CA"/>
        </w:rPr>
        <w:t>Loi sur le Conseil d’examen des taux des entreprises de service</w:t>
      </w:r>
      <w:r w:rsidRPr="008166D7">
        <w:rPr>
          <w:rFonts w:eastAsia="Gadugi"/>
          <w:lang w:bidi="fr-CA"/>
        </w:rPr>
        <w:t xml:space="preserve"> (la Loi sur le CETES), d’obtenir l’autorisation du ministre responsable avant d’imposer un taux ou un tarif. </w:t>
      </w:r>
    </w:p>
    <w:p w14:paraId="7262C785" w14:textId="2604492A" w:rsidR="004F010B" w:rsidRPr="008166D7" w:rsidRDefault="00813998" w:rsidP="00144A6D">
      <w:pPr>
        <w:pStyle w:val="Corpsdetexte"/>
      </w:pPr>
      <w:r w:rsidRPr="008166D7">
        <w:rPr>
          <w:rFonts w:eastAsia="Gadugi"/>
          <w:lang w:bidi="fr-CA"/>
        </w:rPr>
        <w:t>Dans une lettre datée du 24 mars 2022, la SÉQ a demandé au ministre responsable de la SÉQ d’approuver la requête en majoration tarifaire générale (RMTG) 2022-2023 de la SÉQ. La RMTG visait à approuver les besoins en revenus prévus pour l’exercice de référence 2022-2023 de 144,015 millions de dollars et à passer de la structure tarifaire actuelle à une structure tarifaire uniformisée à l’échelle du Nunavut. Le montant à percevoir auprès des clients au moyen des tarifs à l’échelle du Nunavut devrait s’élever à 141,504 millions de dollars (c.-à-d. des besoins de revenus de 144,015 millions de dollars moins des revenus non liés à l’électricité de 2,511 millions de dollars). Dans une lettre datée du 24</w:t>
      </w:r>
      <w:r w:rsidR="00296C2D">
        <w:rPr>
          <w:rFonts w:eastAsia="Gadugi"/>
          <w:lang w:bidi="fr-CA"/>
        </w:rPr>
        <w:t> </w:t>
      </w:r>
      <w:r w:rsidRPr="008166D7">
        <w:rPr>
          <w:rFonts w:eastAsia="Gadugi"/>
          <w:lang w:bidi="fr-CA"/>
        </w:rPr>
        <w:t>mars 2022, le ministre responsable de la SÉQ a demandé l’avis du CETES quant à la demande de la SÉQ.</w:t>
      </w:r>
    </w:p>
    <w:p w14:paraId="7262C786" w14:textId="77777777" w:rsidR="004F010B" w:rsidRPr="008166D7" w:rsidRDefault="00813998" w:rsidP="00144A6D">
      <w:pPr>
        <w:pStyle w:val="Corpsdetexte"/>
      </w:pPr>
      <w:r w:rsidRPr="008166D7">
        <w:rPr>
          <w:rFonts w:eastAsia="Gadugi"/>
          <w:lang w:bidi="fr-CA"/>
        </w:rPr>
        <w:t>Le présent rapport fait état des résultats et des recommandations de l’examen de ce dossier effectué par le CETES. En résumé, le CETES recommande :</w:t>
      </w:r>
    </w:p>
    <w:p w14:paraId="7262C787" w14:textId="06947F8E" w:rsidR="00F95D7A" w:rsidRPr="008166D7" w:rsidRDefault="00813998" w:rsidP="00B554B2">
      <w:pPr>
        <w:pStyle w:val="Paragraphedeliste"/>
        <w:numPr>
          <w:ilvl w:val="1"/>
          <w:numId w:val="7"/>
        </w:numPr>
        <w:spacing w:before="120" w:line="360" w:lineRule="auto"/>
        <w:ind w:left="1440"/>
        <w:rPr>
          <w:sz w:val="24"/>
        </w:rPr>
      </w:pPr>
      <w:r w:rsidRPr="008166D7">
        <w:rPr>
          <w:rFonts w:eastAsia="Gadugi"/>
          <w:sz w:val="24"/>
          <w:lang w:bidi="fr-CA"/>
        </w:rPr>
        <w:t>Que les besoins en revenus prévus pour 2022-2023 soient approuvés sous réserve des recommandations suivantes :</w:t>
      </w:r>
    </w:p>
    <w:p w14:paraId="7262C788" w14:textId="411D27C4" w:rsidR="00F95D7A" w:rsidRPr="008166D7" w:rsidRDefault="00813998" w:rsidP="001849AC">
      <w:pPr>
        <w:pStyle w:val="Paragraphedeliste"/>
        <w:widowControl/>
        <w:numPr>
          <w:ilvl w:val="2"/>
          <w:numId w:val="7"/>
        </w:numPr>
        <w:spacing w:before="120" w:after="120" w:line="360" w:lineRule="auto"/>
        <w:ind w:left="1980" w:hanging="360"/>
        <w:rPr>
          <w:sz w:val="24"/>
          <w:szCs w:val="24"/>
          <w:lang w:val="fr-FR"/>
        </w:rPr>
      </w:pPr>
      <w:r w:rsidRPr="008166D7">
        <w:rPr>
          <w:rFonts w:eastAsia="Gadugi"/>
          <w:sz w:val="24"/>
          <w:lang w:bidi="fr-CA"/>
        </w:rPr>
        <w:t>Que la SÉQ ajuste sa méthode de prévision de l</w:t>
      </w:r>
      <w:r w:rsidR="00296C2D">
        <w:rPr>
          <w:rFonts w:eastAsia="Gadugi"/>
          <w:sz w:val="24"/>
          <w:lang w:bidi="fr-CA"/>
        </w:rPr>
        <w:t>’</w:t>
      </w:r>
      <w:r w:rsidRPr="008166D7">
        <w:rPr>
          <w:rFonts w:eastAsia="Gadugi"/>
          <w:sz w:val="24"/>
          <w:lang w:bidi="fr-CA"/>
        </w:rPr>
        <w:t>efficience énergétique pour comprendre l</w:t>
      </w:r>
      <w:r w:rsidR="00296C2D">
        <w:rPr>
          <w:rFonts w:eastAsia="Gadugi"/>
          <w:sz w:val="24"/>
          <w:lang w:bidi="fr-CA"/>
        </w:rPr>
        <w:t>’</w:t>
      </w:r>
      <w:r w:rsidRPr="008166D7">
        <w:rPr>
          <w:rFonts w:eastAsia="Gadugi"/>
          <w:sz w:val="24"/>
          <w:lang w:bidi="fr-CA"/>
        </w:rPr>
        <w:t>efficience énergétique estimée des centrales électriques nouvelles ou substantiellement modifiées pour les trois premières années d</w:t>
      </w:r>
      <w:r w:rsidR="00296C2D">
        <w:rPr>
          <w:rFonts w:eastAsia="Gadugi"/>
          <w:sz w:val="24"/>
          <w:lang w:bidi="fr-CA"/>
        </w:rPr>
        <w:t>’</w:t>
      </w:r>
      <w:r w:rsidRPr="008166D7">
        <w:rPr>
          <w:rFonts w:eastAsia="Gadugi"/>
          <w:sz w:val="24"/>
          <w:lang w:bidi="fr-CA"/>
        </w:rPr>
        <w:t>exploitation. Après la période de trois ans, l’utilisation de la méthode de moyenne pondérée sur trois</w:t>
      </w:r>
      <w:r w:rsidR="00563FA3">
        <w:rPr>
          <w:rFonts w:eastAsia="Gadugi"/>
          <w:sz w:val="24"/>
          <w:lang w:bidi="fr-CA"/>
        </w:rPr>
        <w:t xml:space="preserve"> </w:t>
      </w:r>
      <w:r w:rsidRPr="008166D7">
        <w:rPr>
          <w:rFonts w:eastAsia="Gadugi"/>
          <w:sz w:val="24"/>
          <w:lang w:bidi="fr-CA"/>
        </w:rPr>
        <w:t xml:space="preserve">ans serait raisonnable. </w:t>
      </w:r>
    </w:p>
    <w:p w14:paraId="7262C789" w14:textId="22F6E223" w:rsidR="00F95D7A" w:rsidRPr="008166D7" w:rsidRDefault="00813998" w:rsidP="001849AC">
      <w:pPr>
        <w:pStyle w:val="Paragraphedeliste"/>
        <w:widowControl/>
        <w:numPr>
          <w:ilvl w:val="2"/>
          <w:numId w:val="7"/>
        </w:numPr>
        <w:spacing w:before="120" w:after="120" w:line="360" w:lineRule="auto"/>
        <w:ind w:left="1980" w:hanging="360"/>
        <w:rPr>
          <w:sz w:val="24"/>
          <w:szCs w:val="24"/>
          <w:lang w:val="fr-FR"/>
        </w:rPr>
      </w:pPr>
      <w:r w:rsidRPr="008166D7">
        <w:rPr>
          <w:rFonts w:eastAsia="Gadugi"/>
          <w:sz w:val="24"/>
          <w:lang w:bidi="fr-CA"/>
        </w:rPr>
        <w:t>Que la SÉQ estime les dépenses de restauration des sites en fonction des travaux qu</w:t>
      </w:r>
      <w:r w:rsidR="00296C2D">
        <w:rPr>
          <w:rFonts w:eastAsia="Gadugi"/>
          <w:sz w:val="24"/>
          <w:lang w:bidi="fr-CA"/>
        </w:rPr>
        <w:t>’</w:t>
      </w:r>
      <w:r w:rsidRPr="008166D7">
        <w:rPr>
          <w:rFonts w:eastAsia="Gadugi"/>
          <w:sz w:val="24"/>
          <w:lang w:bidi="fr-CA"/>
        </w:rPr>
        <w:t>elle prévoit d</w:t>
      </w:r>
      <w:r w:rsidR="00296C2D">
        <w:rPr>
          <w:rFonts w:eastAsia="Gadugi"/>
          <w:sz w:val="24"/>
          <w:lang w:bidi="fr-CA"/>
        </w:rPr>
        <w:t>’</w:t>
      </w:r>
      <w:r w:rsidRPr="008166D7">
        <w:rPr>
          <w:rFonts w:eastAsia="Gadugi"/>
          <w:sz w:val="24"/>
          <w:lang w:bidi="fr-CA"/>
        </w:rPr>
        <w:t>entreprendre au cours de l</w:t>
      </w:r>
      <w:r w:rsidR="00296C2D">
        <w:rPr>
          <w:rFonts w:eastAsia="Gadugi"/>
          <w:sz w:val="24"/>
          <w:lang w:bidi="fr-CA"/>
        </w:rPr>
        <w:t>’</w:t>
      </w:r>
      <w:r w:rsidRPr="008166D7">
        <w:rPr>
          <w:rFonts w:eastAsia="Gadugi"/>
          <w:sz w:val="24"/>
          <w:lang w:bidi="fr-CA"/>
        </w:rPr>
        <w:t>exercice de référence.</w:t>
      </w:r>
    </w:p>
    <w:p w14:paraId="7262C78A" w14:textId="7255F88A" w:rsidR="00516450" w:rsidRPr="008166D7" w:rsidRDefault="00813998" w:rsidP="00B554B2">
      <w:pPr>
        <w:pStyle w:val="Paragraphedeliste"/>
        <w:numPr>
          <w:ilvl w:val="1"/>
          <w:numId w:val="7"/>
        </w:numPr>
        <w:spacing w:before="120" w:line="360" w:lineRule="auto"/>
        <w:ind w:left="1440"/>
        <w:rPr>
          <w:sz w:val="24"/>
        </w:rPr>
      </w:pPr>
      <w:r w:rsidRPr="008166D7">
        <w:rPr>
          <w:rFonts w:eastAsia="Gadugi"/>
          <w:sz w:val="24"/>
          <w:lang w:bidi="fr-CA"/>
        </w:rPr>
        <w:t>Que la transition vers des tarifs à l</w:t>
      </w:r>
      <w:r w:rsidR="00296C2D">
        <w:rPr>
          <w:rFonts w:eastAsia="Gadugi"/>
          <w:sz w:val="24"/>
          <w:lang w:bidi="fr-CA"/>
        </w:rPr>
        <w:t>’</w:t>
      </w:r>
      <w:r w:rsidRPr="008166D7">
        <w:rPr>
          <w:rFonts w:eastAsia="Gadugi"/>
          <w:sz w:val="24"/>
          <w:lang w:bidi="fr-CA"/>
        </w:rPr>
        <w:t>échelle du Nunavut soit approuvée sous réserve des recommandations suivantes :</w:t>
      </w:r>
    </w:p>
    <w:p w14:paraId="7262C78B" w14:textId="7FECC6FB" w:rsidR="00516450" w:rsidRPr="008166D7" w:rsidRDefault="00813998" w:rsidP="001849AC">
      <w:pPr>
        <w:pStyle w:val="Paragraphedeliste"/>
        <w:widowControl/>
        <w:numPr>
          <w:ilvl w:val="2"/>
          <w:numId w:val="7"/>
        </w:numPr>
        <w:spacing w:before="120" w:after="120" w:line="360" w:lineRule="auto"/>
        <w:ind w:left="1980" w:hanging="360"/>
        <w:rPr>
          <w:sz w:val="24"/>
        </w:rPr>
      </w:pPr>
      <w:r w:rsidRPr="008166D7">
        <w:rPr>
          <w:rFonts w:eastAsia="Gadugi"/>
          <w:sz w:val="24"/>
          <w:lang w:bidi="fr-CA"/>
        </w:rPr>
        <w:lastRenderedPageBreak/>
        <w:t xml:space="preserve">Que la SÉQ fasse au moins un tiers du chemin vers la couverture complète des revenus quant à la prime de puissance et les tarifs des clients. De la même manière que la SÉQ a limité les augmentations pour les clients non gouvernementaux à 5,1 %, le CETES recommande que la SÉQ augmente la prime de puissance et les tarifs des clients de manière à limiter l’impact global sur la facturation à 5,1 % pour les classes tarifaires des clients non gouvernementaux. </w:t>
      </w:r>
    </w:p>
    <w:p w14:paraId="36FD4682" w14:textId="68F60E01" w:rsidR="00EE36F8" w:rsidRPr="008166D7" w:rsidRDefault="00813998" w:rsidP="001849AC">
      <w:pPr>
        <w:pStyle w:val="Paragraphedeliste"/>
        <w:widowControl/>
        <w:numPr>
          <w:ilvl w:val="2"/>
          <w:numId w:val="7"/>
        </w:numPr>
        <w:spacing w:before="120" w:line="360" w:lineRule="auto"/>
        <w:ind w:left="1985" w:hanging="365"/>
        <w:rPr>
          <w:sz w:val="24"/>
          <w:szCs w:val="24"/>
        </w:rPr>
      </w:pPr>
      <w:r w:rsidRPr="008166D7">
        <w:rPr>
          <w:rFonts w:eastAsia="Gadugi"/>
          <w:sz w:val="24"/>
          <w:lang w:bidi="fr-CA"/>
        </w:rPr>
        <w:t>Que la SÉQ crée des tarifs pour le client percepteur de taxes municipales et pour le client non percepteur de taxes municipales. Aux fins de la requête en majoration tarifaire générale, le ou les tarifs du client percepteur de taxes municipales pour la ville d</w:t>
      </w:r>
      <w:r w:rsidR="00296C2D">
        <w:rPr>
          <w:rFonts w:eastAsia="Gadugi"/>
          <w:sz w:val="24"/>
          <w:lang w:bidi="fr-CA"/>
        </w:rPr>
        <w:t>’</w:t>
      </w:r>
      <w:r w:rsidRPr="008166D7">
        <w:rPr>
          <w:rFonts w:eastAsia="Gadugi"/>
          <w:sz w:val="24"/>
          <w:lang w:bidi="fr-CA"/>
        </w:rPr>
        <w:t xml:space="preserve">Iqaluit pourraient être déterminés de façon similaire au(x) tarif(s) non gouvernemental(aux). </w:t>
      </w:r>
    </w:p>
    <w:p w14:paraId="7262C78C" w14:textId="6539E22D" w:rsidR="00516450" w:rsidRPr="008166D7" w:rsidRDefault="00813998" w:rsidP="001849AC">
      <w:pPr>
        <w:pStyle w:val="Paragraphedeliste"/>
        <w:widowControl/>
        <w:numPr>
          <w:ilvl w:val="2"/>
          <w:numId w:val="7"/>
        </w:numPr>
        <w:spacing w:before="120" w:line="360" w:lineRule="auto"/>
        <w:ind w:left="1980" w:hanging="360"/>
        <w:rPr>
          <w:sz w:val="24"/>
          <w:szCs w:val="24"/>
        </w:rPr>
      </w:pPr>
      <w:r w:rsidRPr="008166D7">
        <w:rPr>
          <w:rFonts w:eastAsia="Gadugi"/>
          <w:sz w:val="24"/>
          <w:lang w:bidi="fr-CA"/>
        </w:rPr>
        <w:t>Le CETES recommande que le nouveau tarif du client percepteur de taxes municipales connaisse la même augmentation de 5,1 % que tous les autres clients non gouvernementaux. Le CETES recommande également que les tarifs des autres clients gouvernementaux et des clients non percepteurs</w:t>
      </w:r>
      <w:r w:rsidR="004D4F46">
        <w:rPr>
          <w:rFonts w:eastAsia="Gadugi"/>
          <w:sz w:val="24"/>
          <w:lang w:bidi="fr-CA"/>
        </w:rPr>
        <w:t xml:space="preserve"> </w:t>
      </w:r>
      <w:r w:rsidRPr="008166D7">
        <w:rPr>
          <w:rFonts w:eastAsia="Gadugi"/>
          <w:sz w:val="24"/>
          <w:lang w:bidi="fr-CA"/>
        </w:rPr>
        <w:t>de taxes municipales soient ajustés afin de combler le manque à gagner qui résultera de la reclassification des clients gouvernementaux de la ville d</w:t>
      </w:r>
      <w:r w:rsidR="00296C2D">
        <w:rPr>
          <w:rFonts w:eastAsia="Gadugi"/>
          <w:sz w:val="24"/>
          <w:lang w:bidi="fr-CA"/>
        </w:rPr>
        <w:t>’</w:t>
      </w:r>
      <w:r w:rsidRPr="008166D7">
        <w:rPr>
          <w:rFonts w:eastAsia="Gadugi"/>
          <w:sz w:val="24"/>
          <w:lang w:bidi="fr-CA"/>
        </w:rPr>
        <w:t xml:space="preserve">Iqaluit. </w:t>
      </w:r>
    </w:p>
    <w:p w14:paraId="7262C790" w14:textId="552735EB" w:rsidR="00516450" w:rsidRPr="008166D7" w:rsidRDefault="00813998" w:rsidP="001849AC">
      <w:pPr>
        <w:pStyle w:val="Paragraphedeliste"/>
        <w:widowControl/>
        <w:numPr>
          <w:ilvl w:val="2"/>
          <w:numId w:val="7"/>
        </w:numPr>
        <w:spacing w:before="120" w:line="360" w:lineRule="auto"/>
        <w:ind w:left="1980" w:hanging="360"/>
      </w:pPr>
      <w:r w:rsidRPr="008166D7">
        <w:rPr>
          <w:rFonts w:eastAsia="Gadugi"/>
          <w:sz w:val="24"/>
          <w:lang w:bidi="fr-CA"/>
        </w:rPr>
        <w:t>Que, dans le cas où la SÉQ ne crée pas de tarifs pour les clients percepteurs de taxes municipales et les clients non percepteurs de taxes municipales, le manque à gagner créé par la reclassification de la ville d</w:t>
      </w:r>
      <w:r w:rsidR="00296C2D">
        <w:rPr>
          <w:rFonts w:eastAsia="Gadugi"/>
          <w:sz w:val="24"/>
          <w:lang w:bidi="fr-CA"/>
        </w:rPr>
        <w:t>’</w:t>
      </w:r>
      <w:r w:rsidRPr="008166D7">
        <w:rPr>
          <w:rFonts w:eastAsia="Gadugi"/>
          <w:sz w:val="24"/>
          <w:lang w:bidi="fr-CA"/>
        </w:rPr>
        <w:t>Iqaluit soit attribué à tous les autres comptes gouvernementaux selon la méthode proposée par la SÉQ.</w:t>
      </w:r>
    </w:p>
    <w:p w14:paraId="7262C791" w14:textId="2C988BC1" w:rsidR="00516450" w:rsidRPr="008166D7" w:rsidRDefault="00813998" w:rsidP="001849AC">
      <w:pPr>
        <w:pStyle w:val="Paragraphedeliste"/>
        <w:widowControl/>
        <w:numPr>
          <w:ilvl w:val="2"/>
          <w:numId w:val="7"/>
        </w:numPr>
        <w:spacing w:before="120" w:after="120" w:line="360" w:lineRule="auto"/>
        <w:ind w:left="1973" w:hanging="360"/>
        <w:rPr>
          <w:sz w:val="24"/>
          <w:szCs w:val="24"/>
        </w:rPr>
      </w:pPr>
      <w:r w:rsidRPr="008166D7">
        <w:rPr>
          <w:rFonts w:eastAsia="Gadugi"/>
          <w:sz w:val="24"/>
          <w:lang w:bidi="fr-CA"/>
        </w:rPr>
        <w:t>Que la SÉQ surveille les répercussions de la transition proposée vers des tarifs à l</w:t>
      </w:r>
      <w:r w:rsidR="00296C2D">
        <w:rPr>
          <w:rFonts w:eastAsia="Gadugi"/>
          <w:sz w:val="24"/>
          <w:lang w:bidi="fr-CA"/>
        </w:rPr>
        <w:t>’</w:t>
      </w:r>
      <w:r w:rsidRPr="008166D7">
        <w:rPr>
          <w:rFonts w:eastAsia="Gadugi"/>
          <w:sz w:val="24"/>
          <w:lang w:bidi="fr-CA"/>
        </w:rPr>
        <w:t>échelle du Nunavut (y compris la reclassification des comptes de la ville d</w:t>
      </w:r>
      <w:r w:rsidR="00296C2D">
        <w:rPr>
          <w:rFonts w:eastAsia="Gadugi"/>
          <w:sz w:val="24"/>
          <w:lang w:bidi="fr-CA"/>
        </w:rPr>
        <w:t>’</w:t>
      </w:r>
      <w:r w:rsidRPr="008166D7">
        <w:rPr>
          <w:rFonts w:eastAsia="Gadugi"/>
          <w:sz w:val="24"/>
          <w:lang w:bidi="fr-CA"/>
        </w:rPr>
        <w:t>Iqaluit) et qu</w:t>
      </w:r>
      <w:r w:rsidR="00296C2D">
        <w:rPr>
          <w:rFonts w:eastAsia="Gadugi"/>
          <w:sz w:val="24"/>
          <w:lang w:bidi="fr-CA"/>
        </w:rPr>
        <w:t>’</w:t>
      </w:r>
      <w:r w:rsidRPr="008166D7">
        <w:rPr>
          <w:rFonts w:eastAsia="Gadugi"/>
          <w:sz w:val="24"/>
          <w:lang w:bidi="fr-CA"/>
        </w:rPr>
        <w:t>elle réévalue la situation en fonction de la réponse du gouvernement du Nunavut et/ou des changements apportés à la façon dont il finance les hameaux. De plus, si des résultats indésirables sont observés, la SÉQ présentera une demande pour remédier à ces impacts.</w:t>
      </w:r>
    </w:p>
    <w:p w14:paraId="7262C792" w14:textId="0A2A5084" w:rsidR="00BF1BEC" w:rsidRPr="008166D7" w:rsidRDefault="00813998" w:rsidP="00144A6D">
      <w:pPr>
        <w:pStyle w:val="Corpsdetexte"/>
        <w:jc w:val="left"/>
      </w:pPr>
      <w:r w:rsidRPr="008166D7">
        <w:rPr>
          <w:rFonts w:eastAsia="Gadugi"/>
          <w:lang w:bidi="fr-CA"/>
        </w:rPr>
        <w:lastRenderedPageBreak/>
        <w:t>D’autres recommandations sont incluses à la section 7.0 à la fin du rapport. Ces recommandations concernent principalement les améliorations à apporter aux futures RMTG et les renseignements qui seraient utiles au CETES.</w:t>
      </w:r>
    </w:p>
    <w:p w14:paraId="22B98DD0" w14:textId="40A04B75" w:rsidR="004B3D97" w:rsidRPr="008166D7" w:rsidRDefault="00813998" w:rsidP="004B3D97">
      <w:pPr>
        <w:pStyle w:val="Corpsdetexte"/>
        <w:jc w:val="left"/>
      </w:pPr>
      <w:r w:rsidRPr="008166D7">
        <w:rPr>
          <w:rFonts w:eastAsia="Gadugi"/>
          <w:lang w:bidi="fr-CA"/>
        </w:rPr>
        <w:t>Dans la section 7.0, le CETES a également demandé à la SÉQ de soumettre des rapports annuels, y compris des calendriers r</w:t>
      </w:r>
      <w:r w:rsidR="008166D7">
        <w:rPr>
          <w:rFonts w:eastAsia="Gadugi"/>
          <w:lang w:bidi="fr-CA"/>
        </w:rPr>
        <w:t>è</w:t>
      </w:r>
      <w:r w:rsidRPr="008166D7">
        <w:rPr>
          <w:rFonts w:eastAsia="Gadugi"/>
          <w:lang w:bidi="fr-CA"/>
        </w:rPr>
        <w:t>glementaires (semblables à ce qui a été soumis dans les annexes 3.1 à 6.4 de la RMTG), des renseignements sur l</w:t>
      </w:r>
      <w:r w:rsidR="00296C2D">
        <w:rPr>
          <w:rFonts w:eastAsia="Gadugi"/>
          <w:lang w:bidi="fr-CA"/>
        </w:rPr>
        <w:t>’</w:t>
      </w:r>
      <w:r w:rsidRPr="008166D7">
        <w:rPr>
          <w:rFonts w:eastAsia="Gadugi"/>
          <w:lang w:bidi="fr-CA"/>
        </w:rPr>
        <w:t>indice de durée moyenne des interruptions de service touchant le réseau (IDMIS) et l</w:t>
      </w:r>
      <w:r w:rsidR="00296C2D">
        <w:rPr>
          <w:rFonts w:eastAsia="Gadugi"/>
          <w:lang w:bidi="fr-CA"/>
        </w:rPr>
        <w:t>’</w:t>
      </w:r>
      <w:r w:rsidRPr="008166D7">
        <w:rPr>
          <w:rFonts w:eastAsia="Gadugi"/>
          <w:lang w:bidi="fr-CA"/>
        </w:rPr>
        <w:t>indice de fréquence moyenne des interruptions de service touchant le réseau (IFMIS), ainsi que les niveaux de dotation (équivalent temps plein et postes vacants) et d</w:t>
      </w:r>
      <w:r w:rsidR="00296C2D">
        <w:rPr>
          <w:rFonts w:eastAsia="Gadugi"/>
          <w:lang w:bidi="fr-CA"/>
        </w:rPr>
        <w:t>’</w:t>
      </w:r>
      <w:r w:rsidRPr="008166D7">
        <w:rPr>
          <w:rFonts w:eastAsia="Gadugi"/>
          <w:lang w:bidi="fr-CA"/>
        </w:rPr>
        <w:t>autres renseignements d</w:t>
      </w:r>
      <w:r w:rsidR="00296C2D">
        <w:rPr>
          <w:rFonts w:eastAsia="Gadugi"/>
          <w:lang w:bidi="fr-CA"/>
        </w:rPr>
        <w:t>’</w:t>
      </w:r>
      <w:r w:rsidRPr="008166D7">
        <w:rPr>
          <w:rFonts w:eastAsia="Gadugi"/>
          <w:lang w:bidi="fr-CA"/>
        </w:rPr>
        <w:t>importance r</w:t>
      </w:r>
      <w:r w:rsidR="008166D7">
        <w:rPr>
          <w:rFonts w:eastAsia="Gadugi"/>
          <w:lang w:bidi="fr-CA"/>
        </w:rPr>
        <w:t>è</w:t>
      </w:r>
      <w:r w:rsidRPr="008166D7">
        <w:rPr>
          <w:rFonts w:eastAsia="Gadugi"/>
          <w:lang w:bidi="fr-CA"/>
        </w:rPr>
        <w:t>glementaire, qui devraient commencer après la fin de l</w:t>
      </w:r>
      <w:r w:rsidR="00296C2D">
        <w:rPr>
          <w:rFonts w:eastAsia="Gadugi"/>
          <w:lang w:bidi="fr-CA"/>
        </w:rPr>
        <w:t>’</w:t>
      </w:r>
      <w:r w:rsidRPr="008166D7">
        <w:rPr>
          <w:rFonts w:eastAsia="Gadugi"/>
          <w:lang w:bidi="fr-CA"/>
        </w:rPr>
        <w:t>exercice financier 2022-2023. Le CETES ordonne que les rapports soient soumis dans les 180</w:t>
      </w:r>
      <w:r w:rsidR="00296C2D">
        <w:rPr>
          <w:rFonts w:eastAsia="Gadugi"/>
          <w:lang w:bidi="fr-CA"/>
        </w:rPr>
        <w:t> </w:t>
      </w:r>
      <w:r w:rsidRPr="008166D7">
        <w:rPr>
          <w:rFonts w:eastAsia="Gadugi"/>
          <w:lang w:bidi="fr-CA"/>
        </w:rPr>
        <w:t xml:space="preserve">jours suivant la fin de l’exercice financier à des fins d’information, conformément aux </w:t>
      </w:r>
      <w:r w:rsidRPr="008166D7">
        <w:rPr>
          <w:rFonts w:eastAsia="Gadugi"/>
          <w:i/>
          <w:lang w:bidi="fr-CA"/>
        </w:rPr>
        <w:t xml:space="preserve">Règles de procédure et de pratique et lignes directrices des taux </w:t>
      </w:r>
      <w:r w:rsidRPr="008166D7">
        <w:rPr>
          <w:rFonts w:eastAsia="Gadugi"/>
          <w:lang w:bidi="fr-CA"/>
        </w:rPr>
        <w:t>(mars 2007, page 16). </w:t>
      </w:r>
    </w:p>
    <w:p w14:paraId="697EA213" w14:textId="77777777" w:rsidR="00E77EE0" w:rsidRPr="008166D7" w:rsidRDefault="00813998" w:rsidP="00BF79F1">
      <w:pPr>
        <w:spacing w:after="360"/>
        <w:jc w:val="center"/>
        <w:rPr>
          <w:b/>
          <w:bCs/>
          <w:sz w:val="24"/>
          <w:szCs w:val="24"/>
        </w:rPr>
      </w:pPr>
      <w:bookmarkStart w:id="3" w:name="Members_UTILITY_RATES_REVIEW_COUNCIL_OF_"/>
      <w:bookmarkEnd w:id="3"/>
      <w:r w:rsidRPr="008166D7">
        <w:rPr>
          <w:rFonts w:eastAsia="Gadugi"/>
          <w:b/>
          <w:sz w:val="24"/>
          <w:lang w:bidi="fr-CA"/>
        </w:rPr>
        <w:br w:type="page"/>
      </w:r>
    </w:p>
    <w:p w14:paraId="7262C794" w14:textId="6E63108B" w:rsidR="009164D9" w:rsidRPr="008166D7" w:rsidRDefault="00813998" w:rsidP="00BF79F1">
      <w:pPr>
        <w:spacing w:after="360"/>
        <w:jc w:val="center"/>
        <w:rPr>
          <w:b/>
          <w:bCs/>
          <w:sz w:val="24"/>
          <w:szCs w:val="24"/>
        </w:rPr>
      </w:pPr>
      <w:r w:rsidRPr="008166D7">
        <w:rPr>
          <w:rFonts w:eastAsia="Gadugi"/>
          <w:b/>
          <w:sz w:val="24"/>
          <w:lang w:bidi="fr-CA"/>
        </w:rPr>
        <w:lastRenderedPageBreak/>
        <w:t>CONSEIL D’EXAMEN DES TAUX DES ENTREPRISES DE SERVICES DU NUNAVUT</w:t>
      </w:r>
    </w:p>
    <w:p w14:paraId="7262C795" w14:textId="77777777" w:rsidR="009164D9" w:rsidRPr="008166D7" w:rsidRDefault="009164D9" w:rsidP="0025654E"/>
    <w:p w14:paraId="7262C796" w14:textId="77777777" w:rsidR="009164D9" w:rsidRPr="008166D7" w:rsidRDefault="009164D9" w:rsidP="0025654E">
      <w:pPr>
        <w:sectPr w:rsidR="009164D9" w:rsidRPr="008166D7" w:rsidSect="00514D0D">
          <w:headerReference w:type="default" r:id="rId18"/>
          <w:footerReference w:type="default" r:id="rId19"/>
          <w:pgSz w:w="12240" w:h="15840"/>
          <w:pgMar w:top="1440" w:right="1440" w:bottom="720" w:left="1440" w:header="720" w:footer="720" w:gutter="0"/>
          <w:pgNumType w:start="1"/>
          <w:cols w:space="720"/>
          <w:docGrid w:linePitch="299"/>
        </w:sectPr>
      </w:pPr>
    </w:p>
    <w:p w14:paraId="7262C797" w14:textId="77777777" w:rsidR="009164D9" w:rsidRPr="008166D7" w:rsidRDefault="009164D9" w:rsidP="0025654E"/>
    <w:p w14:paraId="7262C798" w14:textId="77777777" w:rsidR="009164D9" w:rsidRPr="008166D7" w:rsidRDefault="00813998">
      <w:pPr>
        <w:ind w:left="240"/>
        <w:rPr>
          <w:b/>
          <w:sz w:val="24"/>
        </w:rPr>
      </w:pPr>
      <w:r w:rsidRPr="008166D7">
        <w:rPr>
          <w:rFonts w:eastAsia="Gadugi"/>
          <w:b/>
          <w:sz w:val="24"/>
          <w:u w:val="single"/>
          <w:lang w:bidi="fr-CA"/>
        </w:rPr>
        <w:t>MEMBRES</w:t>
      </w:r>
    </w:p>
    <w:p w14:paraId="7262C799" w14:textId="77777777" w:rsidR="009164D9" w:rsidRPr="008166D7" w:rsidRDefault="00813998">
      <w:pPr>
        <w:rPr>
          <w:b/>
          <w:sz w:val="26"/>
        </w:rPr>
      </w:pPr>
      <w:r w:rsidRPr="008166D7">
        <w:rPr>
          <w:rFonts w:eastAsia="Gadugi"/>
          <w:lang w:bidi="fr-CA"/>
        </w:rPr>
        <w:br w:type="column"/>
      </w:r>
    </w:p>
    <w:p w14:paraId="7262C79A" w14:textId="77777777" w:rsidR="00C25FD7" w:rsidRPr="008166D7" w:rsidRDefault="00C25FD7" w:rsidP="003867C6"/>
    <w:p w14:paraId="7262C79B" w14:textId="77777777" w:rsidR="00C25FD7" w:rsidRPr="008166D7" w:rsidRDefault="00C25FD7" w:rsidP="003867C6"/>
    <w:p w14:paraId="7262C79C" w14:textId="77777777" w:rsidR="009164D9" w:rsidRPr="008166D7" w:rsidRDefault="00813998" w:rsidP="00E72BF6">
      <w:pPr>
        <w:tabs>
          <w:tab w:val="left" w:pos="2520"/>
        </w:tabs>
        <w:spacing w:after="240"/>
        <w:ind w:left="180"/>
        <w:rPr>
          <w:sz w:val="24"/>
          <w:szCs w:val="24"/>
        </w:rPr>
      </w:pPr>
      <w:r w:rsidRPr="008166D7">
        <w:rPr>
          <w:rFonts w:eastAsia="Gadugi"/>
          <w:sz w:val="24"/>
          <w:lang w:bidi="fr-CA"/>
        </w:rPr>
        <w:t>Graham Lock</w:t>
      </w:r>
      <w:r w:rsidRPr="008166D7">
        <w:rPr>
          <w:rFonts w:eastAsia="Gadugi"/>
          <w:sz w:val="24"/>
          <w:lang w:bidi="fr-CA"/>
        </w:rPr>
        <w:tab/>
        <w:t>Vice-président</w:t>
      </w:r>
    </w:p>
    <w:p w14:paraId="7262C79D" w14:textId="77777777" w:rsidR="009164D9" w:rsidRPr="008166D7" w:rsidRDefault="00813998" w:rsidP="00E72BF6">
      <w:pPr>
        <w:tabs>
          <w:tab w:val="left" w:pos="2520"/>
        </w:tabs>
        <w:spacing w:after="240"/>
        <w:ind w:left="180"/>
        <w:rPr>
          <w:sz w:val="24"/>
          <w:szCs w:val="24"/>
        </w:rPr>
      </w:pPr>
      <w:proofErr w:type="spellStart"/>
      <w:r w:rsidRPr="008166D7">
        <w:rPr>
          <w:rFonts w:eastAsia="Gadugi"/>
          <w:sz w:val="24"/>
          <w:lang w:bidi="fr-CA"/>
        </w:rPr>
        <w:t>Robbin</w:t>
      </w:r>
      <w:proofErr w:type="spellEnd"/>
      <w:r w:rsidRPr="008166D7">
        <w:rPr>
          <w:rFonts w:eastAsia="Gadugi"/>
          <w:sz w:val="24"/>
          <w:lang w:bidi="fr-CA"/>
        </w:rPr>
        <w:t xml:space="preserve"> </w:t>
      </w:r>
      <w:proofErr w:type="spellStart"/>
      <w:r w:rsidRPr="008166D7">
        <w:rPr>
          <w:rFonts w:eastAsia="Gadugi"/>
          <w:sz w:val="24"/>
          <w:lang w:bidi="fr-CA"/>
        </w:rPr>
        <w:t>Sinclaire</w:t>
      </w:r>
      <w:proofErr w:type="spellEnd"/>
      <w:r w:rsidRPr="008166D7">
        <w:rPr>
          <w:rFonts w:eastAsia="Gadugi"/>
          <w:sz w:val="24"/>
          <w:lang w:bidi="fr-CA"/>
        </w:rPr>
        <w:tab/>
        <w:t>Membre</w:t>
      </w:r>
    </w:p>
    <w:p w14:paraId="7262C79E" w14:textId="77777777" w:rsidR="0012772F" w:rsidRPr="008166D7" w:rsidRDefault="00813998" w:rsidP="0012772F">
      <w:pPr>
        <w:tabs>
          <w:tab w:val="left" w:pos="2520"/>
        </w:tabs>
        <w:spacing w:after="240"/>
        <w:ind w:left="180"/>
        <w:rPr>
          <w:sz w:val="24"/>
          <w:szCs w:val="24"/>
          <w:lang w:val="en-US"/>
        </w:rPr>
      </w:pPr>
      <w:r w:rsidRPr="008166D7">
        <w:rPr>
          <w:rFonts w:eastAsia="Gadugi"/>
          <w:sz w:val="24"/>
          <w:lang w:val="en-US" w:bidi="fr-CA"/>
        </w:rPr>
        <w:t>Nadia Ciccone</w:t>
      </w:r>
      <w:r w:rsidRPr="008166D7">
        <w:rPr>
          <w:rFonts w:eastAsia="Gadugi"/>
          <w:sz w:val="24"/>
          <w:lang w:val="en-US" w:bidi="fr-CA"/>
        </w:rPr>
        <w:tab/>
      </w:r>
      <w:proofErr w:type="spellStart"/>
      <w:r w:rsidRPr="008166D7">
        <w:rPr>
          <w:rFonts w:eastAsia="Gadugi"/>
          <w:sz w:val="24"/>
          <w:lang w:val="en-US" w:bidi="fr-CA"/>
        </w:rPr>
        <w:t>Membre</w:t>
      </w:r>
      <w:proofErr w:type="spellEnd"/>
    </w:p>
    <w:p w14:paraId="7262C79F" w14:textId="77777777" w:rsidR="001C58E9" w:rsidRPr="008166D7" w:rsidRDefault="00813998" w:rsidP="001C58E9">
      <w:pPr>
        <w:tabs>
          <w:tab w:val="left" w:pos="2520"/>
        </w:tabs>
        <w:spacing w:after="240"/>
        <w:ind w:left="180"/>
        <w:rPr>
          <w:sz w:val="24"/>
          <w:szCs w:val="24"/>
          <w:lang w:val="en-US"/>
        </w:rPr>
      </w:pPr>
      <w:r w:rsidRPr="008166D7">
        <w:rPr>
          <w:rFonts w:eastAsia="Gadugi"/>
          <w:sz w:val="24"/>
          <w:lang w:val="en-US" w:bidi="fr-CA"/>
        </w:rPr>
        <w:t>Bill Williams</w:t>
      </w:r>
      <w:r w:rsidRPr="008166D7">
        <w:rPr>
          <w:rFonts w:eastAsia="Gadugi"/>
          <w:sz w:val="24"/>
          <w:lang w:val="en-US" w:bidi="fr-CA"/>
        </w:rPr>
        <w:tab/>
      </w:r>
      <w:proofErr w:type="spellStart"/>
      <w:r w:rsidRPr="008166D7">
        <w:rPr>
          <w:rFonts w:eastAsia="Gadugi"/>
          <w:sz w:val="24"/>
          <w:lang w:val="en-US" w:bidi="fr-CA"/>
        </w:rPr>
        <w:t>Membre</w:t>
      </w:r>
      <w:proofErr w:type="spellEnd"/>
    </w:p>
    <w:p w14:paraId="7262C7A0" w14:textId="77777777" w:rsidR="0034401D" w:rsidRPr="008166D7" w:rsidRDefault="0034401D" w:rsidP="00707746">
      <w:pPr>
        <w:tabs>
          <w:tab w:val="left" w:pos="1260"/>
        </w:tabs>
        <w:rPr>
          <w:lang w:val="en-US"/>
        </w:rPr>
      </w:pPr>
    </w:p>
    <w:p w14:paraId="7262C7A1" w14:textId="77777777" w:rsidR="0034401D" w:rsidRPr="008166D7" w:rsidRDefault="0034401D" w:rsidP="00707746">
      <w:pPr>
        <w:tabs>
          <w:tab w:val="left" w:pos="1260"/>
        </w:tabs>
        <w:ind w:left="240"/>
        <w:rPr>
          <w:lang w:val="en-US"/>
        </w:rPr>
        <w:sectPr w:rsidR="0034401D" w:rsidRPr="008166D7">
          <w:type w:val="continuous"/>
          <w:pgSz w:w="12240" w:h="15840"/>
          <w:pgMar w:top="1500" w:right="1420" w:bottom="280" w:left="1200" w:header="720" w:footer="720" w:gutter="0"/>
          <w:cols w:num="2" w:space="720" w:equalWidth="0">
            <w:col w:w="1520" w:space="2893"/>
            <w:col w:w="5207"/>
          </w:cols>
        </w:sectPr>
      </w:pPr>
    </w:p>
    <w:p w14:paraId="7262C7A2" w14:textId="77777777" w:rsidR="009164D9" w:rsidRPr="008166D7" w:rsidRDefault="009164D9" w:rsidP="00C25FD7">
      <w:pPr>
        <w:rPr>
          <w:lang w:val="en-US"/>
        </w:rPr>
      </w:pPr>
    </w:p>
    <w:p w14:paraId="7262C7A3" w14:textId="77777777" w:rsidR="009164D9" w:rsidRPr="008166D7" w:rsidRDefault="009164D9" w:rsidP="00C25FD7">
      <w:pPr>
        <w:rPr>
          <w:lang w:val="en-US"/>
        </w:rPr>
      </w:pPr>
    </w:p>
    <w:p w14:paraId="7262C7A4" w14:textId="77777777" w:rsidR="009164D9" w:rsidRPr="008166D7" w:rsidRDefault="009164D9" w:rsidP="00C25FD7">
      <w:pPr>
        <w:rPr>
          <w:lang w:val="en-US"/>
        </w:rPr>
      </w:pPr>
    </w:p>
    <w:p w14:paraId="7262C7A5" w14:textId="77777777" w:rsidR="009164D9" w:rsidRPr="008166D7" w:rsidRDefault="009164D9" w:rsidP="00C25FD7">
      <w:pPr>
        <w:rPr>
          <w:lang w:val="en-US"/>
        </w:rPr>
        <w:sectPr w:rsidR="009164D9" w:rsidRPr="008166D7">
          <w:type w:val="continuous"/>
          <w:pgSz w:w="12240" w:h="15840"/>
          <w:pgMar w:top="1500" w:right="1420" w:bottom="280" w:left="1200" w:header="720" w:footer="720" w:gutter="0"/>
          <w:cols w:space="720"/>
        </w:sectPr>
      </w:pPr>
    </w:p>
    <w:p w14:paraId="7262C7A6" w14:textId="77777777" w:rsidR="009164D9" w:rsidRPr="008166D7" w:rsidRDefault="00813998">
      <w:pPr>
        <w:spacing w:before="233"/>
        <w:ind w:left="240"/>
        <w:rPr>
          <w:b/>
          <w:sz w:val="24"/>
        </w:rPr>
      </w:pPr>
      <w:r w:rsidRPr="008166D7">
        <w:rPr>
          <w:rFonts w:eastAsia="Gadugi"/>
          <w:b/>
          <w:sz w:val="24"/>
          <w:u w:val="single"/>
          <w:lang w:bidi="fr-CA"/>
        </w:rPr>
        <w:t>PERSONNEL DE SOUTIEN</w:t>
      </w:r>
    </w:p>
    <w:p w14:paraId="7262C7A7" w14:textId="77777777" w:rsidR="009164D9" w:rsidRPr="008166D7" w:rsidRDefault="00813998">
      <w:pPr>
        <w:rPr>
          <w:b/>
          <w:sz w:val="26"/>
        </w:rPr>
      </w:pPr>
      <w:r w:rsidRPr="008166D7">
        <w:rPr>
          <w:rFonts w:eastAsia="Gadugi"/>
          <w:lang w:bidi="fr-CA"/>
        </w:rPr>
        <w:br w:type="column"/>
      </w:r>
    </w:p>
    <w:p w14:paraId="7262C7A8" w14:textId="77777777" w:rsidR="00A21B02" w:rsidRPr="008166D7" w:rsidRDefault="00A21B02" w:rsidP="00BC5A8E">
      <w:pPr>
        <w:tabs>
          <w:tab w:val="left" w:pos="1800"/>
        </w:tabs>
        <w:ind w:left="-720"/>
        <w:rPr>
          <w:sz w:val="24"/>
          <w:szCs w:val="24"/>
        </w:rPr>
      </w:pPr>
    </w:p>
    <w:p w14:paraId="7262C7A9" w14:textId="77777777" w:rsidR="00BC5A8E" w:rsidRPr="008166D7" w:rsidRDefault="00BC5A8E" w:rsidP="00BC5A8E">
      <w:pPr>
        <w:tabs>
          <w:tab w:val="left" w:pos="1800"/>
        </w:tabs>
        <w:ind w:left="-720"/>
        <w:rPr>
          <w:sz w:val="24"/>
          <w:szCs w:val="24"/>
        </w:rPr>
      </w:pPr>
    </w:p>
    <w:p w14:paraId="7262C7AA" w14:textId="77777777" w:rsidR="009164D9" w:rsidRPr="008166D7" w:rsidRDefault="00813998" w:rsidP="00E72BF6">
      <w:pPr>
        <w:tabs>
          <w:tab w:val="left" w:pos="2610"/>
        </w:tabs>
        <w:spacing w:after="240"/>
        <w:ind w:left="270"/>
        <w:rPr>
          <w:sz w:val="24"/>
          <w:szCs w:val="24"/>
        </w:rPr>
      </w:pPr>
      <w:r w:rsidRPr="008166D7">
        <w:rPr>
          <w:rFonts w:eastAsia="Gadugi"/>
          <w:sz w:val="24"/>
          <w:lang w:bidi="fr-CA"/>
        </w:rPr>
        <w:t>Laurie-Anne White</w:t>
      </w:r>
      <w:r w:rsidRPr="008166D7">
        <w:rPr>
          <w:rFonts w:eastAsia="Gadugi"/>
          <w:sz w:val="24"/>
          <w:lang w:bidi="fr-CA"/>
        </w:rPr>
        <w:tab/>
        <w:t>Directrice générale</w:t>
      </w:r>
    </w:p>
    <w:p w14:paraId="7262C7AB" w14:textId="77777777" w:rsidR="009164D9" w:rsidRPr="008166D7" w:rsidRDefault="00813998" w:rsidP="00E72BF6">
      <w:pPr>
        <w:tabs>
          <w:tab w:val="left" w:pos="2610"/>
        </w:tabs>
        <w:spacing w:after="240"/>
        <w:ind w:left="270"/>
        <w:rPr>
          <w:sz w:val="24"/>
          <w:szCs w:val="24"/>
        </w:rPr>
      </w:pPr>
      <w:r w:rsidRPr="008166D7">
        <w:rPr>
          <w:rFonts w:eastAsia="Gadugi"/>
          <w:sz w:val="24"/>
          <w:lang w:bidi="fr-CA"/>
        </w:rPr>
        <w:t>Wade Vienneau</w:t>
      </w:r>
      <w:r w:rsidRPr="008166D7">
        <w:rPr>
          <w:rFonts w:eastAsia="Gadugi"/>
          <w:sz w:val="24"/>
          <w:lang w:bidi="fr-CA"/>
        </w:rPr>
        <w:tab/>
        <w:t>Consultant</w:t>
      </w:r>
    </w:p>
    <w:p w14:paraId="7262C7AC" w14:textId="77777777" w:rsidR="009164D9" w:rsidRPr="008166D7" w:rsidRDefault="009164D9" w:rsidP="00BC5A8E">
      <w:pPr>
        <w:tabs>
          <w:tab w:val="left" w:pos="2880"/>
        </w:tabs>
      </w:pPr>
    </w:p>
    <w:p w14:paraId="7262C7AD" w14:textId="77777777" w:rsidR="009328EA" w:rsidRPr="008166D7" w:rsidRDefault="009328EA" w:rsidP="00BC5A8E">
      <w:pPr>
        <w:tabs>
          <w:tab w:val="left" w:pos="2880"/>
        </w:tabs>
        <w:sectPr w:rsidR="009328EA" w:rsidRPr="008166D7">
          <w:type w:val="continuous"/>
          <w:pgSz w:w="12240" w:h="15840"/>
          <w:pgMar w:top="1500" w:right="1420" w:bottom="280" w:left="1200" w:header="720" w:footer="720" w:gutter="0"/>
          <w:cols w:num="2" w:space="720" w:equalWidth="0">
            <w:col w:w="1398" w:space="2934"/>
            <w:col w:w="5288"/>
          </w:cols>
        </w:sectPr>
      </w:pPr>
    </w:p>
    <w:p w14:paraId="7262C7AE" w14:textId="77777777" w:rsidR="009164D9" w:rsidRPr="008166D7" w:rsidRDefault="00813998" w:rsidP="00B456BA">
      <w:pPr>
        <w:spacing w:after="360"/>
        <w:jc w:val="center"/>
        <w:rPr>
          <w:b/>
          <w:sz w:val="24"/>
        </w:rPr>
      </w:pPr>
      <w:bookmarkStart w:id="4" w:name="LIST_OF_ABBREVIATIONS"/>
      <w:bookmarkEnd w:id="4"/>
      <w:r w:rsidRPr="008166D7">
        <w:rPr>
          <w:rFonts w:eastAsia="Gadugi"/>
          <w:b/>
          <w:sz w:val="24"/>
          <w:lang w:bidi="fr-CA"/>
        </w:rPr>
        <w:lastRenderedPageBreak/>
        <w:t>LISTE DES ABRÉVIATIONS</w:t>
      </w:r>
    </w:p>
    <w:tbl>
      <w:tblPr>
        <w:tblStyle w:val="Grilledutableau"/>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5610"/>
      </w:tblGrid>
      <w:tr w:rsidR="00F6615E" w:rsidRPr="008166D7" w14:paraId="7262C7B3" w14:textId="77777777" w:rsidTr="00B456BA">
        <w:tc>
          <w:tcPr>
            <w:tcW w:w="2070" w:type="dxa"/>
          </w:tcPr>
          <w:p w14:paraId="7262C7B0" w14:textId="5A0CE7F0" w:rsidR="00345A37" w:rsidRPr="008166D7" w:rsidRDefault="00813998" w:rsidP="00A961E3">
            <w:pPr>
              <w:spacing w:after="120"/>
              <w:ind w:left="70"/>
              <w:rPr>
                <w:bCs/>
                <w:sz w:val="24"/>
              </w:rPr>
            </w:pPr>
            <w:r w:rsidRPr="008166D7">
              <w:rPr>
                <w:rFonts w:eastAsia="Gadugi"/>
                <w:sz w:val="24"/>
                <w:lang w:bidi="fr-CA"/>
              </w:rPr>
              <w:t>FEA</w:t>
            </w:r>
          </w:p>
        </w:tc>
        <w:tc>
          <w:tcPr>
            <w:tcW w:w="5610" w:type="dxa"/>
          </w:tcPr>
          <w:p w14:paraId="7262C7B2" w14:textId="64519946" w:rsidR="00345A37" w:rsidRPr="008166D7" w:rsidRDefault="00813998" w:rsidP="00A961E3">
            <w:pPr>
              <w:spacing w:after="120"/>
              <w:ind w:left="70"/>
              <w:rPr>
                <w:bCs/>
                <w:sz w:val="24"/>
              </w:rPr>
            </w:pPr>
            <w:r w:rsidRPr="008166D7">
              <w:rPr>
                <w:rFonts w:eastAsia="Gadugi"/>
                <w:sz w:val="24"/>
                <w:lang w:bidi="fr-CA"/>
              </w:rPr>
              <w:t xml:space="preserve">Fonds pour l’énergie dans l’Arctique </w:t>
            </w:r>
          </w:p>
        </w:tc>
      </w:tr>
      <w:tr w:rsidR="00F6615E" w:rsidRPr="008166D7" w14:paraId="7262C7B9" w14:textId="77777777" w:rsidTr="00707746">
        <w:tc>
          <w:tcPr>
            <w:tcW w:w="2070" w:type="dxa"/>
          </w:tcPr>
          <w:p w14:paraId="7262C7B7" w14:textId="77777777" w:rsidR="00707746" w:rsidRPr="008166D7" w:rsidRDefault="00813998" w:rsidP="00707746">
            <w:pPr>
              <w:spacing w:after="120"/>
              <w:ind w:left="70"/>
              <w:rPr>
                <w:bCs/>
                <w:sz w:val="24"/>
              </w:rPr>
            </w:pPr>
            <w:r w:rsidRPr="008166D7">
              <w:rPr>
                <w:rFonts w:eastAsia="Gadugi"/>
                <w:sz w:val="24"/>
                <w:lang w:bidi="fr-CA"/>
              </w:rPr>
              <w:t>PÉCI</w:t>
            </w:r>
          </w:p>
        </w:tc>
        <w:tc>
          <w:tcPr>
            <w:tcW w:w="5610" w:type="dxa"/>
          </w:tcPr>
          <w:p w14:paraId="7262C7B8" w14:textId="23A4A86B" w:rsidR="00707746" w:rsidRPr="008166D7" w:rsidRDefault="00813998" w:rsidP="00707746">
            <w:pPr>
              <w:spacing w:after="120"/>
              <w:ind w:left="70"/>
              <w:rPr>
                <w:bCs/>
                <w:sz w:val="24"/>
              </w:rPr>
            </w:pPr>
            <w:r w:rsidRPr="008166D7">
              <w:rPr>
                <w:rFonts w:eastAsia="Gadugi"/>
                <w:sz w:val="24"/>
                <w:lang w:bidi="fr-CA"/>
              </w:rPr>
              <w:t>Producteur d’électricité commercial et institutionnel</w:t>
            </w:r>
          </w:p>
        </w:tc>
      </w:tr>
      <w:tr w:rsidR="00F6615E" w:rsidRPr="008166D7" w14:paraId="7262C7BC" w14:textId="77777777" w:rsidTr="00707746">
        <w:tc>
          <w:tcPr>
            <w:tcW w:w="2070" w:type="dxa"/>
          </w:tcPr>
          <w:p w14:paraId="7262C7BA" w14:textId="77777777" w:rsidR="00427241" w:rsidRPr="008166D7" w:rsidRDefault="00813998" w:rsidP="00707746">
            <w:pPr>
              <w:spacing w:after="120"/>
              <w:ind w:left="70"/>
              <w:rPr>
                <w:bCs/>
                <w:sz w:val="24"/>
              </w:rPr>
            </w:pPr>
            <w:r w:rsidRPr="008166D7">
              <w:rPr>
                <w:rFonts w:eastAsia="Gadugi"/>
                <w:sz w:val="24"/>
                <w:lang w:bidi="fr-CA"/>
              </w:rPr>
              <w:t>COS</w:t>
            </w:r>
          </w:p>
        </w:tc>
        <w:tc>
          <w:tcPr>
            <w:tcW w:w="5610" w:type="dxa"/>
          </w:tcPr>
          <w:p w14:paraId="7262C7BB" w14:textId="4413AD72" w:rsidR="00427241" w:rsidRPr="008166D7" w:rsidRDefault="00813998" w:rsidP="00707746">
            <w:pPr>
              <w:spacing w:after="120"/>
              <w:ind w:left="70"/>
              <w:rPr>
                <w:bCs/>
                <w:sz w:val="24"/>
              </w:rPr>
            </w:pPr>
            <w:r w:rsidRPr="008166D7">
              <w:rPr>
                <w:rFonts w:eastAsia="Gadugi"/>
                <w:sz w:val="24"/>
                <w:lang w:bidi="fr-CA"/>
              </w:rPr>
              <w:t>Co</w:t>
            </w:r>
            <w:r w:rsidR="008166D7">
              <w:rPr>
                <w:rFonts w:eastAsia="Gadugi"/>
                <w:sz w:val="24"/>
                <w:lang w:bidi="fr-CA"/>
              </w:rPr>
              <w:t>u</w:t>
            </w:r>
            <w:r w:rsidRPr="008166D7">
              <w:rPr>
                <w:rFonts w:eastAsia="Gadugi"/>
                <w:sz w:val="24"/>
                <w:lang w:bidi="fr-CA"/>
              </w:rPr>
              <w:t>t du service</w:t>
            </w:r>
          </w:p>
        </w:tc>
      </w:tr>
      <w:tr w:rsidR="00F6615E" w:rsidRPr="008166D7" w14:paraId="4522984B" w14:textId="77777777" w:rsidTr="00B456BA">
        <w:tc>
          <w:tcPr>
            <w:tcW w:w="2070" w:type="dxa"/>
          </w:tcPr>
          <w:p w14:paraId="6F007227" w14:textId="41F11F98" w:rsidR="002678A0" w:rsidRPr="008166D7" w:rsidRDefault="00813998" w:rsidP="008364F7">
            <w:pPr>
              <w:spacing w:after="120"/>
              <w:ind w:left="70"/>
              <w:rPr>
                <w:bCs/>
                <w:sz w:val="24"/>
              </w:rPr>
            </w:pPr>
            <w:r w:rsidRPr="008166D7">
              <w:rPr>
                <w:rFonts w:eastAsia="Gadugi"/>
                <w:sz w:val="24"/>
                <w:lang w:bidi="fr-CA"/>
              </w:rPr>
              <w:t>ETP</w:t>
            </w:r>
          </w:p>
        </w:tc>
        <w:tc>
          <w:tcPr>
            <w:tcW w:w="5610" w:type="dxa"/>
          </w:tcPr>
          <w:p w14:paraId="7F283913" w14:textId="197A3340" w:rsidR="002678A0" w:rsidRPr="008166D7" w:rsidRDefault="00813998" w:rsidP="008364F7">
            <w:pPr>
              <w:spacing w:after="120"/>
              <w:ind w:left="70"/>
              <w:rPr>
                <w:sz w:val="24"/>
              </w:rPr>
            </w:pPr>
            <w:r w:rsidRPr="008166D7">
              <w:rPr>
                <w:rFonts w:eastAsia="Gadugi"/>
                <w:sz w:val="24"/>
                <w:lang w:bidi="fr-CA"/>
              </w:rPr>
              <w:t>Équivalent temps plein</w:t>
            </w:r>
          </w:p>
        </w:tc>
      </w:tr>
      <w:tr w:rsidR="00F6615E" w:rsidRPr="008166D7" w14:paraId="6CDA7953" w14:textId="77777777" w:rsidTr="00B456BA">
        <w:tc>
          <w:tcPr>
            <w:tcW w:w="2070" w:type="dxa"/>
          </w:tcPr>
          <w:p w14:paraId="07651822" w14:textId="390C6370" w:rsidR="001E78F9" w:rsidRPr="008166D7" w:rsidRDefault="00813998" w:rsidP="008364F7">
            <w:pPr>
              <w:spacing w:after="120"/>
              <w:ind w:left="70"/>
              <w:rPr>
                <w:bCs/>
                <w:sz w:val="24"/>
              </w:rPr>
            </w:pPr>
            <w:r w:rsidRPr="008166D7">
              <w:rPr>
                <w:rFonts w:eastAsia="Gadugi"/>
                <w:sz w:val="24"/>
                <w:lang w:bidi="fr-CA"/>
              </w:rPr>
              <w:t>TSPC</w:t>
            </w:r>
          </w:p>
        </w:tc>
        <w:tc>
          <w:tcPr>
            <w:tcW w:w="5610" w:type="dxa"/>
          </w:tcPr>
          <w:p w14:paraId="4C5B7D15" w14:textId="10B10D8A" w:rsidR="001E78F9" w:rsidRPr="008166D7" w:rsidRDefault="00813998" w:rsidP="008364F7">
            <w:pPr>
              <w:spacing w:after="120"/>
              <w:ind w:left="70"/>
              <w:rPr>
                <w:sz w:val="24"/>
              </w:rPr>
            </w:pPr>
            <w:r w:rsidRPr="008166D7">
              <w:rPr>
                <w:rFonts w:eastAsia="Gadugi"/>
                <w:sz w:val="24"/>
                <w:lang w:bidi="fr-CA"/>
              </w:rPr>
              <w:t>Taux de stabilisation du prix du combustible</w:t>
            </w:r>
          </w:p>
        </w:tc>
      </w:tr>
      <w:tr w:rsidR="00F6615E" w:rsidRPr="008166D7" w14:paraId="7262C7C5" w14:textId="77777777" w:rsidTr="00B456BA">
        <w:tc>
          <w:tcPr>
            <w:tcW w:w="2070" w:type="dxa"/>
          </w:tcPr>
          <w:p w14:paraId="7262C7C3" w14:textId="77777777" w:rsidR="00F531BF" w:rsidRPr="008166D7" w:rsidRDefault="00813998" w:rsidP="008364F7">
            <w:pPr>
              <w:spacing w:after="120"/>
              <w:ind w:left="70"/>
              <w:rPr>
                <w:bCs/>
                <w:sz w:val="24"/>
              </w:rPr>
            </w:pPr>
            <w:r w:rsidRPr="008166D7">
              <w:rPr>
                <w:rFonts w:eastAsia="Gadugi"/>
                <w:sz w:val="24"/>
                <w:lang w:bidi="fr-CA"/>
              </w:rPr>
              <w:t>GN</w:t>
            </w:r>
          </w:p>
        </w:tc>
        <w:tc>
          <w:tcPr>
            <w:tcW w:w="5610" w:type="dxa"/>
          </w:tcPr>
          <w:p w14:paraId="7262C7C4" w14:textId="77777777" w:rsidR="00F531BF" w:rsidRPr="008166D7" w:rsidRDefault="00813998" w:rsidP="008364F7">
            <w:pPr>
              <w:spacing w:after="120"/>
              <w:ind w:left="70"/>
              <w:rPr>
                <w:bCs/>
                <w:sz w:val="24"/>
              </w:rPr>
            </w:pPr>
            <w:r w:rsidRPr="008166D7">
              <w:rPr>
                <w:rFonts w:eastAsia="Gadugi"/>
                <w:sz w:val="24"/>
                <w:lang w:bidi="fr-CA"/>
              </w:rPr>
              <w:t>Gouvernement du Nunavut</w:t>
            </w:r>
          </w:p>
        </w:tc>
      </w:tr>
      <w:tr w:rsidR="00F6615E" w:rsidRPr="008166D7" w14:paraId="7262C7C8" w14:textId="77777777" w:rsidTr="00B456BA">
        <w:tc>
          <w:tcPr>
            <w:tcW w:w="2070" w:type="dxa"/>
          </w:tcPr>
          <w:p w14:paraId="7262C7C6" w14:textId="77777777" w:rsidR="00F531BF" w:rsidRPr="008166D7" w:rsidRDefault="00813998" w:rsidP="008364F7">
            <w:pPr>
              <w:spacing w:after="120"/>
              <w:ind w:left="70"/>
              <w:rPr>
                <w:bCs/>
                <w:sz w:val="24"/>
              </w:rPr>
            </w:pPr>
            <w:r w:rsidRPr="008166D7">
              <w:rPr>
                <w:rFonts w:eastAsia="Gadugi"/>
                <w:sz w:val="24"/>
                <w:lang w:bidi="fr-CA"/>
              </w:rPr>
              <w:t>RMTG</w:t>
            </w:r>
          </w:p>
        </w:tc>
        <w:tc>
          <w:tcPr>
            <w:tcW w:w="5610" w:type="dxa"/>
          </w:tcPr>
          <w:p w14:paraId="7262C7C7" w14:textId="77777777" w:rsidR="00F531BF" w:rsidRPr="008166D7" w:rsidRDefault="00813998" w:rsidP="008364F7">
            <w:pPr>
              <w:spacing w:after="120"/>
              <w:ind w:left="70"/>
              <w:rPr>
                <w:bCs/>
                <w:sz w:val="24"/>
              </w:rPr>
            </w:pPr>
            <w:r w:rsidRPr="008166D7">
              <w:rPr>
                <w:rFonts w:eastAsia="Gadugi"/>
                <w:sz w:val="24"/>
                <w:lang w:bidi="fr-CA"/>
              </w:rPr>
              <w:t>Requête de majoration tarifaire générale</w:t>
            </w:r>
          </w:p>
        </w:tc>
      </w:tr>
      <w:tr w:rsidR="00F6615E" w:rsidRPr="008166D7" w14:paraId="7262C7D1" w14:textId="77777777" w:rsidTr="00174C44">
        <w:tc>
          <w:tcPr>
            <w:tcW w:w="2070" w:type="dxa"/>
          </w:tcPr>
          <w:p w14:paraId="7262C7CF" w14:textId="77777777" w:rsidR="007657BC" w:rsidRPr="008166D7" w:rsidRDefault="00813998" w:rsidP="007657BC">
            <w:pPr>
              <w:spacing w:after="120"/>
              <w:ind w:left="70"/>
              <w:rPr>
                <w:bCs/>
                <w:sz w:val="24"/>
              </w:rPr>
            </w:pPr>
            <w:r w:rsidRPr="008166D7">
              <w:rPr>
                <w:rFonts w:eastAsia="Gadugi"/>
                <w:sz w:val="24"/>
                <w:lang w:bidi="fr-CA"/>
              </w:rPr>
              <w:t>PÉI</w:t>
            </w:r>
          </w:p>
        </w:tc>
        <w:tc>
          <w:tcPr>
            <w:tcW w:w="5610" w:type="dxa"/>
          </w:tcPr>
          <w:p w14:paraId="7262C7D0" w14:textId="77777777" w:rsidR="007657BC" w:rsidRPr="008166D7" w:rsidRDefault="00813998" w:rsidP="00174C44">
            <w:pPr>
              <w:spacing w:after="120"/>
              <w:ind w:left="70"/>
              <w:rPr>
                <w:bCs/>
                <w:sz w:val="24"/>
              </w:rPr>
            </w:pPr>
            <w:r w:rsidRPr="008166D7">
              <w:rPr>
                <w:rFonts w:eastAsia="Gadugi"/>
                <w:sz w:val="24"/>
                <w:lang w:bidi="fr-CA"/>
              </w:rPr>
              <w:t>Producteurs d’électricité indépendants</w:t>
            </w:r>
          </w:p>
        </w:tc>
      </w:tr>
      <w:tr w:rsidR="00F6615E" w:rsidRPr="008166D7" w14:paraId="7262C7D4" w14:textId="77777777" w:rsidTr="00707746">
        <w:tc>
          <w:tcPr>
            <w:tcW w:w="2070" w:type="dxa"/>
          </w:tcPr>
          <w:p w14:paraId="7262C7D2" w14:textId="77777777" w:rsidR="00707746" w:rsidRPr="008166D7" w:rsidRDefault="00813998" w:rsidP="00707746">
            <w:pPr>
              <w:spacing w:after="120"/>
              <w:ind w:left="70"/>
              <w:rPr>
                <w:bCs/>
                <w:sz w:val="24"/>
              </w:rPr>
            </w:pPr>
            <w:r w:rsidRPr="008166D7">
              <w:rPr>
                <w:rFonts w:eastAsia="Gadugi"/>
                <w:sz w:val="24"/>
                <w:lang w:bidi="fr-CA"/>
              </w:rPr>
              <w:t>DI</w:t>
            </w:r>
          </w:p>
        </w:tc>
        <w:tc>
          <w:tcPr>
            <w:tcW w:w="5610" w:type="dxa"/>
          </w:tcPr>
          <w:p w14:paraId="7262C7D3" w14:textId="77777777" w:rsidR="00707746" w:rsidRPr="008166D7" w:rsidRDefault="00813998" w:rsidP="00707746">
            <w:pPr>
              <w:spacing w:after="120"/>
              <w:ind w:left="70"/>
              <w:rPr>
                <w:bCs/>
                <w:sz w:val="24"/>
              </w:rPr>
            </w:pPr>
            <w:r w:rsidRPr="008166D7">
              <w:rPr>
                <w:rFonts w:eastAsia="Gadugi"/>
                <w:sz w:val="24"/>
                <w:lang w:bidi="fr-CA"/>
              </w:rPr>
              <w:t>Demande d’information</w:t>
            </w:r>
          </w:p>
        </w:tc>
      </w:tr>
      <w:tr w:rsidR="00F6615E" w:rsidRPr="008166D7" w14:paraId="7262C7D7" w14:textId="77777777" w:rsidTr="00B456BA">
        <w:tc>
          <w:tcPr>
            <w:tcW w:w="2070" w:type="dxa"/>
          </w:tcPr>
          <w:p w14:paraId="7262C7D5" w14:textId="77777777" w:rsidR="00F531BF" w:rsidRPr="008166D7" w:rsidRDefault="00813998" w:rsidP="008364F7">
            <w:pPr>
              <w:spacing w:after="120"/>
              <w:ind w:left="70"/>
              <w:rPr>
                <w:bCs/>
                <w:sz w:val="24"/>
              </w:rPr>
            </w:pPr>
            <w:proofErr w:type="gramStart"/>
            <w:r w:rsidRPr="008166D7">
              <w:rPr>
                <w:rFonts w:eastAsia="Gadugi"/>
                <w:sz w:val="24"/>
                <w:lang w:bidi="fr-CA"/>
              </w:rPr>
              <w:t>kW</w:t>
            </w:r>
            <w:proofErr w:type="gramEnd"/>
          </w:p>
        </w:tc>
        <w:tc>
          <w:tcPr>
            <w:tcW w:w="5610" w:type="dxa"/>
          </w:tcPr>
          <w:p w14:paraId="7262C7D6" w14:textId="77777777" w:rsidR="00F531BF" w:rsidRPr="008166D7" w:rsidRDefault="00813998" w:rsidP="008364F7">
            <w:pPr>
              <w:spacing w:after="120"/>
              <w:ind w:left="70"/>
              <w:rPr>
                <w:bCs/>
                <w:sz w:val="24"/>
              </w:rPr>
            </w:pPr>
            <w:r w:rsidRPr="008166D7">
              <w:rPr>
                <w:rFonts w:eastAsia="Gadugi"/>
                <w:sz w:val="24"/>
                <w:lang w:bidi="fr-CA"/>
              </w:rPr>
              <w:t>Kilowatt</w:t>
            </w:r>
          </w:p>
        </w:tc>
      </w:tr>
      <w:tr w:rsidR="00F6615E" w:rsidRPr="008166D7" w14:paraId="77C3C0B6" w14:textId="77777777" w:rsidTr="00B456BA">
        <w:tc>
          <w:tcPr>
            <w:tcW w:w="2070" w:type="dxa"/>
          </w:tcPr>
          <w:p w14:paraId="7330C508" w14:textId="1A67886A" w:rsidR="00CE0279" w:rsidRPr="008166D7" w:rsidRDefault="00813998" w:rsidP="008364F7">
            <w:pPr>
              <w:spacing w:after="120"/>
              <w:ind w:left="70"/>
              <w:rPr>
                <w:bCs/>
                <w:sz w:val="24"/>
              </w:rPr>
            </w:pPr>
            <w:proofErr w:type="gramStart"/>
            <w:r w:rsidRPr="008166D7">
              <w:rPr>
                <w:rFonts w:eastAsia="Gadugi"/>
                <w:sz w:val="24"/>
                <w:lang w:bidi="fr-CA"/>
              </w:rPr>
              <w:t>kWh</w:t>
            </w:r>
            <w:proofErr w:type="gramEnd"/>
          </w:p>
        </w:tc>
        <w:tc>
          <w:tcPr>
            <w:tcW w:w="5610" w:type="dxa"/>
          </w:tcPr>
          <w:p w14:paraId="3103BF04" w14:textId="0472DCAD" w:rsidR="00CE0279" w:rsidRPr="008166D7" w:rsidRDefault="00813998" w:rsidP="008364F7">
            <w:pPr>
              <w:spacing w:after="120"/>
              <w:ind w:left="70"/>
              <w:rPr>
                <w:bCs/>
                <w:sz w:val="24"/>
              </w:rPr>
            </w:pPr>
            <w:r w:rsidRPr="008166D7">
              <w:rPr>
                <w:rFonts w:eastAsia="Gadugi"/>
                <w:sz w:val="24"/>
                <w:lang w:bidi="fr-CA"/>
              </w:rPr>
              <w:t>Kilowattheure</w:t>
            </w:r>
          </w:p>
        </w:tc>
      </w:tr>
      <w:tr w:rsidR="00F6615E" w:rsidRPr="008166D7" w14:paraId="7262C7DA" w14:textId="77777777" w:rsidTr="00B456BA">
        <w:tc>
          <w:tcPr>
            <w:tcW w:w="2070" w:type="dxa"/>
          </w:tcPr>
          <w:p w14:paraId="7262C7D8" w14:textId="77777777" w:rsidR="00CC62E9" w:rsidRPr="008166D7" w:rsidRDefault="00813998" w:rsidP="008364F7">
            <w:pPr>
              <w:spacing w:after="120"/>
              <w:ind w:left="70"/>
              <w:rPr>
                <w:bCs/>
                <w:sz w:val="24"/>
              </w:rPr>
            </w:pPr>
            <w:r w:rsidRPr="008166D7">
              <w:rPr>
                <w:rFonts w:eastAsia="Gadugi"/>
                <w:sz w:val="24"/>
                <w:lang w:bidi="fr-CA"/>
              </w:rPr>
              <w:t>DPPM</w:t>
            </w:r>
          </w:p>
        </w:tc>
        <w:tc>
          <w:tcPr>
            <w:tcW w:w="5610" w:type="dxa"/>
          </w:tcPr>
          <w:p w14:paraId="7262C7D9" w14:textId="77777777" w:rsidR="00CC62E9" w:rsidRPr="008166D7" w:rsidRDefault="00813998" w:rsidP="008364F7">
            <w:pPr>
              <w:spacing w:after="120"/>
              <w:ind w:left="70"/>
              <w:rPr>
                <w:bCs/>
                <w:sz w:val="24"/>
              </w:rPr>
            </w:pPr>
            <w:r w:rsidRPr="008166D7">
              <w:rPr>
                <w:rFonts w:eastAsia="Gadugi"/>
                <w:sz w:val="24"/>
                <w:lang w:bidi="fr-CA"/>
              </w:rPr>
              <w:t xml:space="preserve">Demande de permis pour un projet majeur </w:t>
            </w:r>
          </w:p>
        </w:tc>
      </w:tr>
      <w:tr w:rsidR="00F6615E" w:rsidRPr="008166D7" w14:paraId="7262C7DD" w14:textId="77777777" w:rsidTr="008827D8">
        <w:tc>
          <w:tcPr>
            <w:tcW w:w="2070" w:type="dxa"/>
          </w:tcPr>
          <w:p w14:paraId="7262C7DB" w14:textId="77777777" w:rsidR="00FB3B65" w:rsidRPr="008166D7" w:rsidRDefault="00813998" w:rsidP="008827D8">
            <w:pPr>
              <w:spacing w:after="120"/>
              <w:ind w:left="70"/>
              <w:rPr>
                <w:bCs/>
                <w:sz w:val="24"/>
              </w:rPr>
            </w:pPr>
            <w:r w:rsidRPr="008166D7">
              <w:rPr>
                <w:rFonts w:eastAsia="Gadugi"/>
                <w:sz w:val="24"/>
                <w:lang w:bidi="fr-CA"/>
              </w:rPr>
              <w:t>NESP</w:t>
            </w:r>
          </w:p>
        </w:tc>
        <w:tc>
          <w:tcPr>
            <w:tcW w:w="5610" w:type="dxa"/>
          </w:tcPr>
          <w:p w14:paraId="7262C7DC" w14:textId="5EB629D7" w:rsidR="00FB3B65" w:rsidRPr="008166D7" w:rsidRDefault="00813998" w:rsidP="00075908">
            <w:pPr>
              <w:spacing w:after="120"/>
              <w:ind w:left="70"/>
              <w:rPr>
                <w:bCs/>
                <w:sz w:val="24"/>
              </w:rPr>
            </w:pPr>
            <w:r w:rsidRPr="008166D7">
              <w:rPr>
                <w:rFonts w:eastAsia="Gadugi"/>
                <w:sz w:val="24"/>
                <w:lang w:bidi="fr-CA"/>
              </w:rPr>
              <w:t>Programme de subvention sur l</w:t>
            </w:r>
            <w:r w:rsidR="00296C2D">
              <w:rPr>
                <w:rFonts w:eastAsia="Gadugi"/>
                <w:sz w:val="24"/>
                <w:lang w:bidi="fr-CA"/>
              </w:rPr>
              <w:t>’</w:t>
            </w:r>
            <w:r w:rsidRPr="008166D7">
              <w:rPr>
                <w:rFonts w:eastAsia="Gadugi"/>
                <w:sz w:val="24"/>
                <w:lang w:bidi="fr-CA"/>
              </w:rPr>
              <w:t>électricité au Nunavut</w:t>
            </w:r>
          </w:p>
        </w:tc>
      </w:tr>
      <w:tr w:rsidR="00F6615E" w:rsidRPr="008166D7" w14:paraId="7262C7E0" w14:textId="77777777" w:rsidTr="000C1F3B">
        <w:tc>
          <w:tcPr>
            <w:tcW w:w="2070" w:type="dxa"/>
          </w:tcPr>
          <w:p w14:paraId="7262C7DE" w14:textId="77777777" w:rsidR="0021725A" w:rsidRPr="008166D7" w:rsidRDefault="00813998" w:rsidP="000C1F3B">
            <w:pPr>
              <w:spacing w:after="120"/>
              <w:ind w:left="70"/>
              <w:rPr>
                <w:bCs/>
                <w:sz w:val="24"/>
              </w:rPr>
            </w:pPr>
            <w:r w:rsidRPr="008166D7">
              <w:rPr>
                <w:rFonts w:eastAsia="Gadugi"/>
                <w:sz w:val="24"/>
                <w:lang w:bidi="fr-CA"/>
              </w:rPr>
              <w:t>NNC</w:t>
            </w:r>
          </w:p>
        </w:tc>
        <w:tc>
          <w:tcPr>
            <w:tcW w:w="5610" w:type="dxa"/>
          </w:tcPr>
          <w:p w14:paraId="7262C7DF" w14:textId="77777777" w:rsidR="0021725A" w:rsidRPr="008166D7" w:rsidRDefault="00813998" w:rsidP="000C1F3B">
            <w:pPr>
              <w:spacing w:after="120"/>
              <w:ind w:left="70"/>
              <w:rPr>
                <w:sz w:val="24"/>
              </w:rPr>
            </w:pPr>
            <w:r w:rsidRPr="008166D7">
              <w:rPr>
                <w:rFonts w:eastAsia="Gadugi"/>
                <w:sz w:val="24"/>
                <w:lang w:bidi="fr-CA"/>
              </w:rPr>
              <w:t xml:space="preserve">Nunavut </w:t>
            </w:r>
            <w:proofErr w:type="spellStart"/>
            <w:r w:rsidRPr="008166D7">
              <w:rPr>
                <w:rFonts w:eastAsia="Gadugi"/>
                <w:sz w:val="24"/>
                <w:lang w:bidi="fr-CA"/>
              </w:rPr>
              <w:t>Nukkiksautiit</w:t>
            </w:r>
            <w:proofErr w:type="spellEnd"/>
            <w:r w:rsidRPr="008166D7">
              <w:rPr>
                <w:rFonts w:eastAsia="Gadugi"/>
                <w:lang w:bidi="fr-CA"/>
              </w:rPr>
              <w:t xml:space="preserve"> </w:t>
            </w:r>
            <w:r w:rsidRPr="008166D7">
              <w:rPr>
                <w:rFonts w:eastAsia="Gadugi"/>
                <w:sz w:val="24"/>
                <w:lang w:bidi="fr-CA"/>
              </w:rPr>
              <w:t>Corporation</w:t>
            </w:r>
          </w:p>
        </w:tc>
      </w:tr>
      <w:tr w:rsidR="00F6615E" w:rsidRPr="008166D7" w14:paraId="7262C7E7" w14:textId="77777777" w:rsidTr="00E350F9">
        <w:tc>
          <w:tcPr>
            <w:tcW w:w="2070" w:type="dxa"/>
          </w:tcPr>
          <w:p w14:paraId="7262C7E3" w14:textId="7E24B78A" w:rsidR="00345A37" w:rsidRPr="008166D7" w:rsidRDefault="00813998" w:rsidP="00FD6D04">
            <w:pPr>
              <w:spacing w:after="120"/>
              <w:ind w:left="70"/>
              <w:rPr>
                <w:bCs/>
                <w:sz w:val="24"/>
              </w:rPr>
            </w:pPr>
            <w:r w:rsidRPr="008166D7">
              <w:rPr>
                <w:rFonts w:eastAsia="Gadugi"/>
                <w:sz w:val="24"/>
                <w:lang w:bidi="fr-CA"/>
              </w:rPr>
              <w:t>F et E</w:t>
            </w:r>
          </w:p>
        </w:tc>
        <w:tc>
          <w:tcPr>
            <w:tcW w:w="5610" w:type="dxa"/>
          </w:tcPr>
          <w:p w14:paraId="7262C7E6" w14:textId="75945640" w:rsidR="00345A37" w:rsidRPr="008166D7" w:rsidRDefault="00813998" w:rsidP="00FD6D04">
            <w:pPr>
              <w:spacing w:after="120"/>
              <w:ind w:left="70"/>
              <w:rPr>
                <w:sz w:val="24"/>
              </w:rPr>
            </w:pPr>
            <w:r w:rsidRPr="008166D7">
              <w:rPr>
                <w:rFonts w:eastAsia="Gadugi"/>
                <w:sz w:val="24"/>
                <w:lang w:bidi="fr-CA"/>
              </w:rPr>
              <w:t>Fonctionnement et entretien</w:t>
            </w:r>
          </w:p>
        </w:tc>
      </w:tr>
      <w:tr w:rsidR="00F6615E" w:rsidRPr="008166D7" w14:paraId="7262C7EC" w14:textId="77777777" w:rsidTr="00B456BA">
        <w:tc>
          <w:tcPr>
            <w:tcW w:w="2070" w:type="dxa"/>
          </w:tcPr>
          <w:p w14:paraId="7262C7E9" w14:textId="77777777" w:rsidR="003D445A" w:rsidRPr="008166D7" w:rsidRDefault="00813998" w:rsidP="008364F7">
            <w:pPr>
              <w:spacing w:after="120"/>
              <w:ind w:left="70"/>
              <w:rPr>
                <w:bCs/>
                <w:sz w:val="24"/>
              </w:rPr>
            </w:pPr>
            <w:r w:rsidRPr="008166D7">
              <w:rPr>
                <w:rFonts w:eastAsia="Gadugi"/>
                <w:sz w:val="24"/>
                <w:lang w:bidi="fr-CA"/>
              </w:rPr>
              <w:t>NCSP</w:t>
            </w:r>
          </w:p>
        </w:tc>
        <w:tc>
          <w:tcPr>
            <w:tcW w:w="5610" w:type="dxa"/>
          </w:tcPr>
          <w:p w14:paraId="7262C7EB" w14:textId="77777777" w:rsidR="00661036" w:rsidRPr="008166D7" w:rsidRDefault="00813998" w:rsidP="008364F7">
            <w:pPr>
              <w:spacing w:after="120"/>
              <w:ind w:left="70"/>
              <w:rPr>
                <w:bCs/>
                <w:sz w:val="24"/>
              </w:rPr>
            </w:pPr>
            <w:r w:rsidRPr="008166D7">
              <w:rPr>
                <w:rFonts w:eastAsia="Gadugi"/>
                <w:sz w:val="24"/>
                <w:lang w:bidi="fr-CA"/>
              </w:rPr>
              <w:t>Normes comptables pour le secteur public</w:t>
            </w:r>
          </w:p>
        </w:tc>
      </w:tr>
      <w:tr w:rsidR="00F6615E" w:rsidRPr="008166D7" w14:paraId="7262C7EF" w14:textId="77777777" w:rsidTr="00B456BA">
        <w:tc>
          <w:tcPr>
            <w:tcW w:w="2070" w:type="dxa"/>
          </w:tcPr>
          <w:p w14:paraId="7262C7ED" w14:textId="77777777" w:rsidR="00CC62E9" w:rsidRPr="008166D7" w:rsidRDefault="00813998" w:rsidP="008364F7">
            <w:pPr>
              <w:spacing w:after="120"/>
              <w:ind w:left="70"/>
              <w:rPr>
                <w:bCs/>
                <w:sz w:val="24"/>
              </w:rPr>
            </w:pPr>
            <w:r w:rsidRPr="008166D7">
              <w:rPr>
                <w:rFonts w:eastAsia="Gadugi"/>
                <w:sz w:val="24"/>
                <w:lang w:bidi="fr-CA"/>
              </w:rPr>
              <w:t>SÉQ</w:t>
            </w:r>
          </w:p>
        </w:tc>
        <w:tc>
          <w:tcPr>
            <w:tcW w:w="5610" w:type="dxa"/>
          </w:tcPr>
          <w:p w14:paraId="7262C7EE" w14:textId="77777777" w:rsidR="00CC62E9" w:rsidRPr="008166D7" w:rsidRDefault="00813998" w:rsidP="008364F7">
            <w:pPr>
              <w:spacing w:after="120"/>
              <w:ind w:left="70"/>
              <w:rPr>
                <w:bCs/>
                <w:sz w:val="24"/>
              </w:rPr>
            </w:pPr>
            <w:r w:rsidRPr="008166D7">
              <w:rPr>
                <w:rFonts w:eastAsia="Gadugi"/>
                <w:sz w:val="24"/>
                <w:lang w:bidi="fr-CA"/>
              </w:rPr>
              <w:t>Société d’énergie Qulliq</w:t>
            </w:r>
          </w:p>
        </w:tc>
      </w:tr>
      <w:tr w:rsidR="00F6615E" w:rsidRPr="008166D7" w14:paraId="7262C7F5" w14:textId="77777777" w:rsidTr="00B456BA">
        <w:tc>
          <w:tcPr>
            <w:tcW w:w="2070" w:type="dxa"/>
          </w:tcPr>
          <w:p w14:paraId="7262C7F3" w14:textId="77777777" w:rsidR="00D9243B" w:rsidRPr="008166D7" w:rsidRDefault="00813998" w:rsidP="008364F7">
            <w:pPr>
              <w:spacing w:after="120"/>
              <w:ind w:left="70"/>
              <w:rPr>
                <w:bCs/>
                <w:sz w:val="24"/>
              </w:rPr>
            </w:pPr>
            <w:r w:rsidRPr="008166D7">
              <w:rPr>
                <w:rFonts w:eastAsia="Gadugi"/>
                <w:sz w:val="24"/>
                <w:lang w:bidi="fr-CA"/>
              </w:rPr>
              <w:t>RCC</w:t>
            </w:r>
          </w:p>
        </w:tc>
        <w:tc>
          <w:tcPr>
            <w:tcW w:w="5610" w:type="dxa"/>
          </w:tcPr>
          <w:p w14:paraId="7262C7F4" w14:textId="73C1959A" w:rsidR="00D9243B" w:rsidRPr="008166D7" w:rsidRDefault="00813998" w:rsidP="008364F7">
            <w:pPr>
              <w:spacing w:after="120"/>
              <w:ind w:left="70"/>
              <w:rPr>
                <w:bCs/>
                <w:sz w:val="24"/>
              </w:rPr>
            </w:pPr>
            <w:r w:rsidRPr="008166D7">
              <w:rPr>
                <w:rFonts w:eastAsia="Gadugi"/>
                <w:sz w:val="24"/>
                <w:lang w:bidi="fr-CA"/>
              </w:rPr>
              <w:t>Couverture du co</w:t>
            </w:r>
            <w:r w:rsidR="008166D7">
              <w:rPr>
                <w:rFonts w:eastAsia="Gadugi"/>
                <w:sz w:val="24"/>
                <w:lang w:bidi="fr-CA"/>
              </w:rPr>
              <w:t>u</w:t>
            </w:r>
            <w:r w:rsidRPr="008166D7">
              <w:rPr>
                <w:rFonts w:eastAsia="Gadugi"/>
                <w:sz w:val="24"/>
                <w:lang w:bidi="fr-CA"/>
              </w:rPr>
              <w:t>t des recettes</w:t>
            </w:r>
          </w:p>
        </w:tc>
      </w:tr>
      <w:tr w:rsidR="00F6615E" w:rsidRPr="008166D7" w14:paraId="7262C7FA" w14:textId="77777777" w:rsidTr="00B456BA">
        <w:tc>
          <w:tcPr>
            <w:tcW w:w="2070" w:type="dxa"/>
          </w:tcPr>
          <w:p w14:paraId="7262C7F7" w14:textId="77777777" w:rsidR="00150567" w:rsidRPr="008166D7" w:rsidRDefault="00813998" w:rsidP="008364F7">
            <w:pPr>
              <w:spacing w:after="120"/>
              <w:ind w:left="70"/>
              <w:rPr>
                <w:bCs/>
                <w:sz w:val="24"/>
              </w:rPr>
            </w:pPr>
            <w:r w:rsidRPr="008166D7">
              <w:rPr>
                <w:rFonts w:eastAsia="Gadugi"/>
                <w:sz w:val="24"/>
                <w:lang w:bidi="fr-CA"/>
              </w:rPr>
              <w:t>RCP</w:t>
            </w:r>
          </w:p>
        </w:tc>
        <w:tc>
          <w:tcPr>
            <w:tcW w:w="5610" w:type="dxa"/>
          </w:tcPr>
          <w:p w14:paraId="7262C7F9" w14:textId="77777777" w:rsidR="00150567" w:rsidRPr="008166D7" w:rsidRDefault="00813998" w:rsidP="008364F7">
            <w:pPr>
              <w:spacing w:after="120"/>
              <w:ind w:left="70"/>
              <w:rPr>
                <w:bCs/>
                <w:sz w:val="24"/>
              </w:rPr>
            </w:pPr>
            <w:r w:rsidRPr="008166D7">
              <w:rPr>
                <w:rFonts w:eastAsia="Gadugi"/>
                <w:sz w:val="24"/>
                <w:lang w:bidi="fr-CA"/>
              </w:rPr>
              <w:t xml:space="preserve">Rendement des capitaux propres </w:t>
            </w:r>
          </w:p>
        </w:tc>
      </w:tr>
      <w:tr w:rsidR="00F6615E" w:rsidRPr="008166D7" w14:paraId="7262C7FD" w14:textId="77777777" w:rsidTr="00B456BA">
        <w:tc>
          <w:tcPr>
            <w:tcW w:w="2070" w:type="dxa"/>
          </w:tcPr>
          <w:p w14:paraId="7262C7FB" w14:textId="77777777" w:rsidR="00136931" w:rsidRPr="008166D7" w:rsidRDefault="00813998" w:rsidP="008364F7">
            <w:pPr>
              <w:spacing w:after="120"/>
              <w:ind w:left="70"/>
              <w:rPr>
                <w:bCs/>
                <w:sz w:val="24"/>
              </w:rPr>
            </w:pPr>
            <w:r w:rsidRPr="008166D7">
              <w:rPr>
                <w:rFonts w:eastAsia="Gadugi"/>
                <w:sz w:val="24"/>
                <w:lang w:bidi="fr-CA"/>
              </w:rPr>
              <w:t>IDMIS</w:t>
            </w:r>
          </w:p>
        </w:tc>
        <w:tc>
          <w:tcPr>
            <w:tcW w:w="5610" w:type="dxa"/>
          </w:tcPr>
          <w:p w14:paraId="7262C7FC" w14:textId="77777777" w:rsidR="00136931" w:rsidRPr="008166D7" w:rsidRDefault="00813998" w:rsidP="008364F7">
            <w:pPr>
              <w:spacing w:after="120"/>
              <w:ind w:left="70"/>
              <w:rPr>
                <w:bCs/>
                <w:sz w:val="24"/>
              </w:rPr>
            </w:pPr>
            <w:r w:rsidRPr="008166D7">
              <w:rPr>
                <w:rFonts w:eastAsia="Gadugi"/>
                <w:sz w:val="24"/>
                <w:lang w:bidi="fr-CA"/>
              </w:rPr>
              <w:t>Indice de la durée moyenne d’interruption de service</w:t>
            </w:r>
            <w:r w:rsidRPr="008166D7">
              <w:rPr>
                <w:rStyle w:val="Appelnotedebasdep"/>
                <w:rFonts w:eastAsia="Gadugi"/>
                <w:b/>
                <w:sz w:val="20"/>
                <w:lang w:bidi="fr-CA"/>
              </w:rPr>
              <w:footnoteReference w:id="1"/>
            </w:r>
          </w:p>
        </w:tc>
      </w:tr>
      <w:tr w:rsidR="00F6615E" w:rsidRPr="008166D7" w14:paraId="7262C800" w14:textId="77777777" w:rsidTr="00B456BA">
        <w:tc>
          <w:tcPr>
            <w:tcW w:w="2070" w:type="dxa"/>
          </w:tcPr>
          <w:p w14:paraId="7262C7FE" w14:textId="77777777" w:rsidR="00136931" w:rsidRPr="008166D7" w:rsidRDefault="00813998" w:rsidP="008364F7">
            <w:pPr>
              <w:spacing w:after="120"/>
              <w:ind w:left="70"/>
              <w:rPr>
                <w:bCs/>
                <w:sz w:val="24"/>
              </w:rPr>
            </w:pPr>
            <w:r w:rsidRPr="008166D7">
              <w:rPr>
                <w:rFonts w:eastAsia="Gadugi"/>
                <w:sz w:val="24"/>
                <w:lang w:bidi="fr-CA"/>
              </w:rPr>
              <w:t>IFMIS</w:t>
            </w:r>
          </w:p>
        </w:tc>
        <w:tc>
          <w:tcPr>
            <w:tcW w:w="5610" w:type="dxa"/>
          </w:tcPr>
          <w:p w14:paraId="7262C7FF" w14:textId="77777777" w:rsidR="00136931" w:rsidRPr="008166D7" w:rsidRDefault="00813998" w:rsidP="008364F7">
            <w:pPr>
              <w:spacing w:after="120"/>
              <w:ind w:left="70"/>
              <w:rPr>
                <w:bCs/>
                <w:sz w:val="24"/>
              </w:rPr>
            </w:pPr>
            <w:r w:rsidRPr="008166D7">
              <w:rPr>
                <w:rFonts w:eastAsia="Gadugi"/>
                <w:sz w:val="24"/>
                <w:lang w:bidi="fr-CA"/>
              </w:rPr>
              <w:t>Indice de fréquence moyenne des interruptions de service</w:t>
            </w:r>
            <w:r w:rsidRPr="008166D7">
              <w:rPr>
                <w:rStyle w:val="Appelnotedebasdep"/>
                <w:rFonts w:eastAsia="Gadugi"/>
                <w:b/>
                <w:sz w:val="20"/>
                <w:lang w:bidi="fr-CA"/>
              </w:rPr>
              <w:footnoteReference w:id="2"/>
            </w:r>
          </w:p>
        </w:tc>
      </w:tr>
      <w:tr w:rsidR="00F6615E" w:rsidRPr="008166D7" w14:paraId="0450C8B3" w14:textId="77777777" w:rsidTr="00B456BA">
        <w:tc>
          <w:tcPr>
            <w:tcW w:w="2070" w:type="dxa"/>
          </w:tcPr>
          <w:p w14:paraId="0AB0E10F" w14:textId="6C32EDB2" w:rsidR="001E78F9" w:rsidRPr="008166D7" w:rsidRDefault="00813998" w:rsidP="008364F7">
            <w:pPr>
              <w:spacing w:after="120"/>
              <w:ind w:left="70"/>
              <w:rPr>
                <w:bCs/>
                <w:sz w:val="24"/>
              </w:rPr>
            </w:pPr>
            <w:r w:rsidRPr="008166D7">
              <w:rPr>
                <w:rFonts w:eastAsia="Gadugi"/>
                <w:sz w:val="24"/>
                <w:lang w:bidi="fr-CA"/>
              </w:rPr>
              <w:t>UPC</w:t>
            </w:r>
          </w:p>
        </w:tc>
        <w:tc>
          <w:tcPr>
            <w:tcW w:w="5610" w:type="dxa"/>
          </w:tcPr>
          <w:p w14:paraId="3EB6C282" w14:textId="2B787E79" w:rsidR="001E78F9" w:rsidRPr="008166D7" w:rsidRDefault="00813998" w:rsidP="008364F7">
            <w:pPr>
              <w:spacing w:after="120"/>
              <w:ind w:left="70"/>
              <w:rPr>
                <w:sz w:val="24"/>
              </w:rPr>
            </w:pPr>
            <w:r w:rsidRPr="008166D7">
              <w:rPr>
                <w:rFonts w:eastAsia="Gadugi"/>
                <w:sz w:val="24"/>
                <w:lang w:bidi="fr-CA"/>
              </w:rPr>
              <w:t>Utilisation par client</w:t>
            </w:r>
          </w:p>
        </w:tc>
      </w:tr>
      <w:tr w:rsidR="00F6615E" w:rsidRPr="008166D7" w14:paraId="7262C803" w14:textId="77777777" w:rsidTr="00B456BA">
        <w:tc>
          <w:tcPr>
            <w:tcW w:w="2070" w:type="dxa"/>
          </w:tcPr>
          <w:p w14:paraId="7262C801" w14:textId="77777777" w:rsidR="00136931" w:rsidRPr="008166D7" w:rsidRDefault="00813998" w:rsidP="008364F7">
            <w:pPr>
              <w:spacing w:after="120"/>
              <w:ind w:left="70"/>
              <w:rPr>
                <w:bCs/>
                <w:sz w:val="24"/>
              </w:rPr>
            </w:pPr>
            <w:r w:rsidRPr="008166D7">
              <w:rPr>
                <w:rFonts w:eastAsia="Gadugi"/>
                <w:sz w:val="24"/>
                <w:lang w:bidi="fr-CA"/>
              </w:rPr>
              <w:t>CETES</w:t>
            </w:r>
          </w:p>
        </w:tc>
        <w:tc>
          <w:tcPr>
            <w:tcW w:w="5610" w:type="dxa"/>
          </w:tcPr>
          <w:p w14:paraId="7262C802" w14:textId="77777777" w:rsidR="00136931" w:rsidRPr="008166D7" w:rsidRDefault="00813998" w:rsidP="008364F7">
            <w:pPr>
              <w:spacing w:after="120"/>
              <w:ind w:left="70"/>
              <w:rPr>
                <w:bCs/>
                <w:sz w:val="24"/>
              </w:rPr>
            </w:pPr>
            <w:r w:rsidRPr="008166D7">
              <w:rPr>
                <w:rFonts w:eastAsia="Gadugi"/>
                <w:sz w:val="24"/>
                <w:lang w:bidi="fr-CA"/>
              </w:rPr>
              <w:t>Conseil d’examen des taux des entreprises de service du Nunavut</w:t>
            </w:r>
          </w:p>
        </w:tc>
      </w:tr>
      <w:tr w:rsidR="00F6615E" w:rsidRPr="008166D7" w14:paraId="7262C806" w14:textId="77777777" w:rsidTr="00B456BA">
        <w:tc>
          <w:tcPr>
            <w:tcW w:w="2070" w:type="dxa"/>
          </w:tcPr>
          <w:p w14:paraId="7262C804" w14:textId="77777777" w:rsidR="00317BD4" w:rsidRPr="008166D7" w:rsidRDefault="00813998" w:rsidP="008364F7">
            <w:pPr>
              <w:spacing w:after="120"/>
              <w:ind w:left="70"/>
              <w:rPr>
                <w:bCs/>
                <w:sz w:val="24"/>
              </w:rPr>
            </w:pPr>
            <w:r w:rsidRPr="008166D7">
              <w:rPr>
                <w:rFonts w:eastAsia="Gadugi"/>
                <w:sz w:val="24"/>
                <w:lang w:bidi="fr-CA"/>
              </w:rPr>
              <w:t>Loi sur le CETES</w:t>
            </w:r>
          </w:p>
        </w:tc>
        <w:tc>
          <w:tcPr>
            <w:tcW w:w="5610" w:type="dxa"/>
          </w:tcPr>
          <w:p w14:paraId="7262C805" w14:textId="77777777" w:rsidR="00317BD4" w:rsidRPr="008166D7" w:rsidRDefault="00813998" w:rsidP="008364F7">
            <w:pPr>
              <w:spacing w:after="120"/>
              <w:ind w:left="70"/>
              <w:rPr>
                <w:i/>
                <w:iCs/>
                <w:sz w:val="24"/>
              </w:rPr>
            </w:pPr>
            <w:r w:rsidRPr="008166D7">
              <w:rPr>
                <w:rFonts w:eastAsia="Gadugi"/>
                <w:i/>
                <w:sz w:val="24"/>
                <w:lang w:bidi="fr-CA"/>
              </w:rPr>
              <w:t>Loi sur le Conseil d’examen des taux des entreprises de service</w:t>
            </w:r>
          </w:p>
        </w:tc>
      </w:tr>
    </w:tbl>
    <w:p w14:paraId="7262C807" w14:textId="77777777" w:rsidR="002E510D" w:rsidRPr="008166D7" w:rsidRDefault="002E510D" w:rsidP="002E510D">
      <w:pPr>
        <w:spacing w:after="240"/>
        <w:ind w:left="245"/>
        <w:rPr>
          <w:b/>
          <w:sz w:val="24"/>
        </w:rPr>
      </w:pPr>
    </w:p>
    <w:p w14:paraId="7262C808" w14:textId="77777777" w:rsidR="00137FCA" w:rsidRPr="008166D7" w:rsidRDefault="00137FCA">
      <w:pPr>
        <w:spacing w:line="340" w:lineRule="atLeast"/>
        <w:rPr>
          <w:sz w:val="24"/>
        </w:rPr>
        <w:sectPr w:rsidR="00137FCA" w:rsidRPr="008166D7" w:rsidSect="002230C0">
          <w:pgSz w:w="12240" w:h="15840" w:code="1"/>
          <w:pgMar w:top="1440" w:right="1440" w:bottom="720" w:left="1440" w:header="720" w:footer="720" w:gutter="0"/>
          <w:cols w:space="720"/>
        </w:sectPr>
      </w:pPr>
    </w:p>
    <w:p w14:paraId="7262C809" w14:textId="77777777" w:rsidR="009164D9" w:rsidRPr="008166D7" w:rsidRDefault="00813998" w:rsidP="00B456BA">
      <w:pPr>
        <w:spacing w:after="360"/>
        <w:ind w:left="245"/>
        <w:jc w:val="center"/>
        <w:rPr>
          <w:b/>
          <w:vanish/>
          <w:sz w:val="24"/>
        </w:rPr>
      </w:pPr>
      <w:bookmarkStart w:id="5" w:name="TABLE_OF_CONTENTS"/>
      <w:bookmarkEnd w:id="5"/>
      <w:r w:rsidRPr="008166D7">
        <w:rPr>
          <w:b/>
          <w:vanish/>
          <w:sz w:val="24"/>
        </w:rPr>
        <w:lastRenderedPageBreak/>
        <w:t>TABLE OF CONTENTS</w:t>
      </w:r>
    </w:p>
    <w:p w14:paraId="5359B11A" w14:textId="05023AA9" w:rsidR="00DE1362" w:rsidRPr="008166D7" w:rsidRDefault="00813998">
      <w:pPr>
        <w:pStyle w:val="TM1"/>
        <w:tabs>
          <w:tab w:val="left" w:pos="1019"/>
          <w:tab w:val="right" w:leader="dot" w:pos="9350"/>
        </w:tabs>
        <w:rPr>
          <w:rFonts w:eastAsiaTheme="minorEastAsia"/>
          <w:noProof/>
          <w:vanish/>
        </w:rPr>
      </w:pPr>
      <w:r w:rsidRPr="008166D7">
        <w:rPr>
          <w:b/>
          <w:vanish/>
          <w:sz w:val="24"/>
        </w:rPr>
        <w:fldChar w:fldCharType="begin"/>
      </w:r>
      <w:r w:rsidRPr="008166D7">
        <w:rPr>
          <w:b/>
          <w:vanish/>
          <w:sz w:val="24"/>
        </w:rPr>
        <w:instrText xml:space="preserve"> TOC \h \z \t "Heading 1_URRC,1,Heading 2_URRC,2,Heading 3_URRC,3" </w:instrText>
      </w:r>
      <w:r w:rsidRPr="008166D7">
        <w:rPr>
          <w:b/>
          <w:vanish/>
          <w:sz w:val="24"/>
        </w:rPr>
        <w:fldChar w:fldCharType="separate"/>
      </w: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1.0</w:t>
      </w:r>
      <w:r w:rsidR="00DE1362" w:rsidRPr="008166D7">
        <w:rPr>
          <w:rFonts w:eastAsiaTheme="minorEastAsia"/>
          <w:noProof/>
          <w:vanish/>
        </w:rPr>
        <w:tab/>
      </w:r>
      <w:r w:rsidR="00DE1362" w:rsidRPr="008166D7">
        <w:rPr>
          <w:rStyle w:val="Lienhypertexte"/>
          <w:noProof/>
          <w:vanish/>
        </w:rPr>
        <w:t>EXECUTIVE SUMMARY</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_Toc111575056 \h </w:instrText>
      </w:r>
      <w:r w:rsidR="00DE1362" w:rsidRPr="008166D7">
        <w:rPr>
          <w:noProof/>
          <w:vanish/>
          <w:webHidden/>
        </w:rPr>
      </w:r>
      <w:r w:rsidR="00DE1362" w:rsidRPr="008166D7">
        <w:rPr>
          <w:noProof/>
          <w:vanish/>
          <w:webHidden/>
        </w:rPr>
        <w:fldChar w:fldCharType="separate"/>
      </w:r>
      <w:r w:rsidR="00DE1362" w:rsidRPr="008166D7">
        <w:rPr>
          <w:noProof/>
          <w:vanish/>
          <w:webHidden/>
        </w:rPr>
        <w:t>1</w:t>
      </w:r>
      <w:r w:rsidR="00DE1362" w:rsidRPr="008166D7">
        <w:rPr>
          <w:noProof/>
          <w:vanish/>
          <w:webHidden/>
        </w:rPr>
        <w:fldChar w:fldCharType="end"/>
      </w:r>
      <w:r w:rsidRPr="008166D7">
        <w:rPr>
          <w:noProof/>
          <w:vanish/>
        </w:rPr>
        <w:fldChar w:fldCharType="end"/>
      </w:r>
    </w:p>
    <w:p w14:paraId="32EC0E62" w14:textId="7EFBDB66" w:rsidR="00DE1362" w:rsidRPr="008166D7" w:rsidRDefault="00000000">
      <w:pPr>
        <w:pStyle w:val="TM1"/>
        <w:tabs>
          <w:tab w:val="left" w:pos="1019"/>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2.0</w:t>
      </w:r>
      <w:r w:rsidR="00DE1362" w:rsidRPr="008166D7">
        <w:rPr>
          <w:rFonts w:eastAsiaTheme="minorEastAsia"/>
          <w:noProof/>
          <w:vanish/>
        </w:rPr>
        <w:tab/>
      </w:r>
      <w:r w:rsidR="00DE1362" w:rsidRPr="008166D7">
        <w:rPr>
          <w:rStyle w:val="Lienhypertexte"/>
          <w:noProof/>
          <w:vanish/>
        </w:rPr>
        <w:t>BACKGROUND</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_Toc111575057 \h </w:instrText>
      </w:r>
      <w:r w:rsidR="00DE1362" w:rsidRPr="008166D7">
        <w:rPr>
          <w:noProof/>
          <w:vanish/>
          <w:webHidden/>
        </w:rPr>
      </w:r>
      <w:r w:rsidR="00DE1362" w:rsidRPr="008166D7">
        <w:rPr>
          <w:noProof/>
          <w:vanish/>
          <w:webHidden/>
        </w:rPr>
        <w:fldChar w:fldCharType="separate"/>
      </w:r>
      <w:r w:rsidR="00DE1362" w:rsidRPr="008166D7">
        <w:rPr>
          <w:noProof/>
          <w:vanish/>
          <w:webHidden/>
        </w:rPr>
        <w:t>8</w:t>
      </w:r>
      <w:r w:rsidR="00DE1362" w:rsidRPr="008166D7">
        <w:rPr>
          <w:noProof/>
          <w:vanish/>
          <w:webHidden/>
        </w:rPr>
        <w:fldChar w:fldCharType="end"/>
      </w:r>
      <w:r w:rsidRPr="008166D7">
        <w:rPr>
          <w:noProof/>
          <w:vanish/>
        </w:rPr>
        <w:fldChar w:fldCharType="end"/>
      </w:r>
    </w:p>
    <w:p w14:paraId="24F09A92" w14:textId="04EC9D23" w:rsidR="00DE1362" w:rsidRPr="008166D7" w:rsidRDefault="00000000">
      <w:pPr>
        <w:pStyle w:val="TM1"/>
        <w:tabs>
          <w:tab w:val="left" w:pos="1019"/>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3.0</w:t>
      </w:r>
      <w:r w:rsidR="00DE1362" w:rsidRPr="008166D7">
        <w:rPr>
          <w:rFonts w:eastAsiaTheme="minorEastAsia"/>
          <w:noProof/>
          <w:vanish/>
        </w:rPr>
        <w:tab/>
      </w:r>
      <w:r w:rsidR="00DE1362" w:rsidRPr="008166D7">
        <w:rPr>
          <w:rStyle w:val="Lienhypertexte"/>
          <w:noProof/>
          <w:vanish/>
        </w:rPr>
        <w:t>PARTICULARS</w:t>
      </w:r>
      <w:r w:rsidR="00DE1362" w:rsidRPr="008166D7">
        <w:rPr>
          <w:rStyle w:val="Lienhypertexte"/>
          <w:noProof/>
          <w:vanish/>
          <w:spacing w:val="-4"/>
        </w:rPr>
        <w:t xml:space="preserve"> </w:t>
      </w:r>
      <w:r w:rsidR="00DE1362" w:rsidRPr="008166D7">
        <w:rPr>
          <w:rStyle w:val="Lienhypertexte"/>
          <w:noProof/>
          <w:vanish/>
        </w:rPr>
        <w:t>OF</w:t>
      </w:r>
      <w:r w:rsidR="00DE1362" w:rsidRPr="008166D7">
        <w:rPr>
          <w:rStyle w:val="Lienhypertexte"/>
          <w:noProof/>
          <w:vanish/>
          <w:spacing w:val="-7"/>
        </w:rPr>
        <w:t xml:space="preserve"> </w:t>
      </w:r>
      <w:r w:rsidR="00DE1362" w:rsidRPr="008166D7">
        <w:rPr>
          <w:rStyle w:val="Lienhypertexte"/>
          <w:noProof/>
          <w:vanish/>
        </w:rPr>
        <w:t>THE</w:t>
      </w:r>
      <w:r w:rsidR="00DE1362" w:rsidRPr="008166D7">
        <w:rPr>
          <w:rStyle w:val="Lienhypertexte"/>
          <w:noProof/>
          <w:vanish/>
          <w:spacing w:val="-4"/>
        </w:rPr>
        <w:t xml:space="preserve"> </w:t>
      </w:r>
      <w:r w:rsidR="00DE1362" w:rsidRPr="008166D7">
        <w:rPr>
          <w:rStyle w:val="Lienhypertexte"/>
          <w:noProof/>
          <w:vanish/>
        </w:rPr>
        <w:t>APPLICATION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_Toc111575058 \h </w:instrText>
      </w:r>
      <w:r w:rsidR="00DE1362" w:rsidRPr="008166D7">
        <w:rPr>
          <w:noProof/>
          <w:vanish/>
          <w:webHidden/>
        </w:rPr>
      </w:r>
      <w:r w:rsidR="00DE1362" w:rsidRPr="008166D7">
        <w:rPr>
          <w:noProof/>
          <w:vanish/>
          <w:webHidden/>
        </w:rPr>
        <w:fldChar w:fldCharType="separate"/>
      </w:r>
      <w:r w:rsidR="00DE1362" w:rsidRPr="008166D7">
        <w:rPr>
          <w:noProof/>
          <w:vanish/>
          <w:webHidden/>
        </w:rPr>
        <w:t>10</w:t>
      </w:r>
      <w:r w:rsidR="00DE1362" w:rsidRPr="008166D7">
        <w:rPr>
          <w:noProof/>
          <w:vanish/>
          <w:webHidden/>
        </w:rPr>
        <w:fldChar w:fldCharType="end"/>
      </w:r>
      <w:r w:rsidRPr="008166D7">
        <w:rPr>
          <w:noProof/>
          <w:vanish/>
        </w:rPr>
        <w:fldChar w:fldCharType="end"/>
      </w:r>
    </w:p>
    <w:p w14:paraId="3D66AC21" w14:textId="21DC0047"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3.1</w:t>
      </w:r>
      <w:r w:rsidR="00DE1362" w:rsidRPr="008166D7">
        <w:rPr>
          <w:rFonts w:eastAsiaTheme="minorEastAsia"/>
          <w:noProof/>
          <w:vanish/>
        </w:rPr>
        <w:tab/>
      </w:r>
      <w:r w:rsidR="00DE1362" w:rsidRPr="008166D7">
        <w:rPr>
          <w:rStyle w:val="Lienhypertexte"/>
          <w:noProof/>
          <w:vanish/>
        </w:rPr>
        <w:t>REVENUE REQUIREMENT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_Toc111575059 \h </w:instrText>
      </w:r>
      <w:r w:rsidR="00DE1362" w:rsidRPr="008166D7">
        <w:rPr>
          <w:noProof/>
          <w:vanish/>
          <w:webHidden/>
        </w:rPr>
      </w:r>
      <w:r w:rsidR="00DE1362" w:rsidRPr="008166D7">
        <w:rPr>
          <w:noProof/>
          <w:vanish/>
          <w:webHidden/>
        </w:rPr>
        <w:fldChar w:fldCharType="separate"/>
      </w:r>
      <w:r w:rsidR="00DE1362" w:rsidRPr="008166D7">
        <w:rPr>
          <w:noProof/>
          <w:vanish/>
          <w:webHidden/>
        </w:rPr>
        <w:t>11</w:t>
      </w:r>
      <w:r w:rsidR="00DE1362" w:rsidRPr="008166D7">
        <w:rPr>
          <w:noProof/>
          <w:vanish/>
          <w:webHidden/>
        </w:rPr>
        <w:fldChar w:fldCharType="end"/>
      </w:r>
      <w:r w:rsidRPr="008166D7">
        <w:rPr>
          <w:noProof/>
          <w:vanish/>
        </w:rPr>
        <w:fldChar w:fldCharType="end"/>
      </w:r>
    </w:p>
    <w:p w14:paraId="26E646B5" w14:textId="31F33523"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3.2</w:t>
      </w:r>
      <w:r w:rsidR="00DE1362" w:rsidRPr="008166D7">
        <w:rPr>
          <w:rFonts w:eastAsiaTheme="minorEastAsia"/>
          <w:noProof/>
          <w:vanish/>
        </w:rPr>
        <w:tab/>
      </w:r>
      <w:r w:rsidR="00DE1362" w:rsidRPr="008166D7">
        <w:rPr>
          <w:rStyle w:val="Lienhypertexte"/>
          <w:noProof/>
          <w:vanish/>
        </w:rPr>
        <w:t>RATE DESIGN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_Toc111575060 \h </w:instrText>
      </w:r>
      <w:r w:rsidR="00DE1362" w:rsidRPr="008166D7">
        <w:rPr>
          <w:noProof/>
          <w:vanish/>
          <w:webHidden/>
        </w:rPr>
      </w:r>
      <w:r w:rsidR="00DE1362" w:rsidRPr="008166D7">
        <w:rPr>
          <w:noProof/>
          <w:vanish/>
          <w:webHidden/>
        </w:rPr>
        <w:fldChar w:fldCharType="separate"/>
      </w:r>
      <w:r w:rsidR="00DE1362" w:rsidRPr="008166D7">
        <w:rPr>
          <w:noProof/>
          <w:vanish/>
          <w:webHidden/>
        </w:rPr>
        <w:t>15</w:t>
      </w:r>
      <w:r w:rsidR="00DE1362" w:rsidRPr="008166D7">
        <w:rPr>
          <w:noProof/>
          <w:vanish/>
          <w:webHidden/>
        </w:rPr>
        <w:fldChar w:fldCharType="end"/>
      </w:r>
      <w:r w:rsidRPr="008166D7">
        <w:rPr>
          <w:noProof/>
          <w:vanish/>
        </w:rPr>
        <w:fldChar w:fldCharType="end"/>
      </w:r>
    </w:p>
    <w:p w14:paraId="6B3343A0" w14:textId="3126AE50" w:rsidR="00DE1362" w:rsidRPr="008166D7" w:rsidRDefault="00000000">
      <w:pPr>
        <w:pStyle w:val="TM1"/>
        <w:tabs>
          <w:tab w:val="left" w:pos="1019"/>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4.0</w:t>
      </w:r>
      <w:r w:rsidR="00DE1362" w:rsidRPr="008166D7">
        <w:rPr>
          <w:rFonts w:eastAsiaTheme="minorEastAsia"/>
          <w:noProof/>
          <w:vanish/>
        </w:rPr>
        <w:tab/>
      </w:r>
      <w:r w:rsidR="00DE1362" w:rsidRPr="008166D7">
        <w:rPr>
          <w:rStyle w:val="Lienhypertexte"/>
          <w:noProof/>
          <w:vanish/>
        </w:rPr>
        <w:t>PROCESS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_Toc111575061 \h </w:instrText>
      </w:r>
      <w:r w:rsidR="00DE1362" w:rsidRPr="008166D7">
        <w:rPr>
          <w:noProof/>
          <w:vanish/>
          <w:webHidden/>
        </w:rPr>
      </w:r>
      <w:r w:rsidR="00DE1362" w:rsidRPr="008166D7">
        <w:rPr>
          <w:noProof/>
          <w:vanish/>
          <w:webHidden/>
        </w:rPr>
        <w:fldChar w:fldCharType="separate"/>
      </w:r>
      <w:r w:rsidR="00DE1362" w:rsidRPr="008166D7">
        <w:rPr>
          <w:noProof/>
          <w:vanish/>
          <w:webHidden/>
        </w:rPr>
        <w:t>23</w:t>
      </w:r>
      <w:r w:rsidR="00DE1362" w:rsidRPr="008166D7">
        <w:rPr>
          <w:noProof/>
          <w:vanish/>
          <w:webHidden/>
        </w:rPr>
        <w:fldChar w:fldCharType="end"/>
      </w:r>
      <w:r w:rsidRPr="008166D7">
        <w:rPr>
          <w:noProof/>
          <w:vanish/>
        </w:rPr>
        <w:fldChar w:fldCharType="end"/>
      </w:r>
    </w:p>
    <w:p w14:paraId="28B641F8" w14:textId="3DA19672"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4.1</w:t>
      </w:r>
      <w:r w:rsidR="00DE1362" w:rsidRPr="008166D7">
        <w:rPr>
          <w:rFonts w:eastAsiaTheme="minorEastAsia"/>
          <w:noProof/>
          <w:vanish/>
        </w:rPr>
        <w:tab/>
      </w:r>
      <w:r w:rsidR="00DE1362" w:rsidRPr="008166D7">
        <w:rPr>
          <w:rStyle w:val="Lienhypertexte"/>
          <w:noProof/>
          <w:vanish/>
        </w:rPr>
        <w:t>MAJOR</w:t>
      </w:r>
      <w:r w:rsidR="00DE1362" w:rsidRPr="008166D7">
        <w:rPr>
          <w:rStyle w:val="Lienhypertexte"/>
          <w:noProof/>
          <w:vanish/>
          <w:spacing w:val="-5"/>
        </w:rPr>
        <w:t xml:space="preserve"> </w:t>
      </w:r>
      <w:r w:rsidR="00DE1362" w:rsidRPr="008166D7">
        <w:rPr>
          <w:rStyle w:val="Lienhypertexte"/>
          <w:noProof/>
          <w:vanish/>
        </w:rPr>
        <w:t>OR</w:t>
      </w:r>
      <w:r w:rsidR="00DE1362" w:rsidRPr="008166D7">
        <w:rPr>
          <w:rStyle w:val="Lienhypertexte"/>
          <w:noProof/>
          <w:vanish/>
          <w:spacing w:val="-4"/>
        </w:rPr>
        <w:t xml:space="preserve"> </w:t>
      </w:r>
      <w:r w:rsidR="00DE1362" w:rsidRPr="008166D7">
        <w:rPr>
          <w:rStyle w:val="Lienhypertexte"/>
          <w:noProof/>
          <w:vanish/>
        </w:rPr>
        <w:t>MINOR</w:t>
      </w:r>
      <w:r w:rsidR="00DE1362" w:rsidRPr="008166D7">
        <w:rPr>
          <w:rStyle w:val="Lienhypertexte"/>
          <w:noProof/>
          <w:vanish/>
          <w:spacing w:val="-4"/>
        </w:rPr>
        <w:t xml:space="preserve"> </w:t>
      </w:r>
      <w:r w:rsidR="00DE1362" w:rsidRPr="008166D7">
        <w:rPr>
          <w:rStyle w:val="Lienhypertexte"/>
          <w:noProof/>
          <w:vanish/>
        </w:rPr>
        <w:t>APPLICATIONS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_Toc111575062 \h </w:instrText>
      </w:r>
      <w:r w:rsidR="00DE1362" w:rsidRPr="008166D7">
        <w:rPr>
          <w:noProof/>
          <w:vanish/>
          <w:webHidden/>
        </w:rPr>
      </w:r>
      <w:r w:rsidR="00DE1362" w:rsidRPr="008166D7">
        <w:rPr>
          <w:noProof/>
          <w:vanish/>
          <w:webHidden/>
        </w:rPr>
        <w:fldChar w:fldCharType="separate"/>
      </w:r>
      <w:r w:rsidR="00DE1362" w:rsidRPr="008166D7">
        <w:rPr>
          <w:noProof/>
          <w:vanish/>
          <w:webHidden/>
        </w:rPr>
        <w:t>23</w:t>
      </w:r>
      <w:r w:rsidR="00DE1362" w:rsidRPr="008166D7">
        <w:rPr>
          <w:noProof/>
          <w:vanish/>
          <w:webHidden/>
        </w:rPr>
        <w:fldChar w:fldCharType="end"/>
      </w:r>
      <w:r w:rsidRPr="008166D7">
        <w:rPr>
          <w:noProof/>
          <w:vanish/>
        </w:rPr>
        <w:fldChar w:fldCharType="end"/>
      </w:r>
    </w:p>
    <w:p w14:paraId="730D8FD9" w14:textId="6EFC527D"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4.2</w:t>
      </w:r>
      <w:r w:rsidR="00DE1362" w:rsidRPr="008166D7">
        <w:rPr>
          <w:rFonts w:eastAsiaTheme="minorEastAsia"/>
          <w:noProof/>
          <w:vanish/>
        </w:rPr>
        <w:tab/>
      </w:r>
      <w:r w:rsidR="00DE1362" w:rsidRPr="008166D7">
        <w:rPr>
          <w:rStyle w:val="Lienhypertexte"/>
          <w:noProof/>
          <w:vanish/>
        </w:rPr>
        <w:t>PUBLIC</w:t>
      </w:r>
      <w:r w:rsidR="00DE1362" w:rsidRPr="008166D7">
        <w:rPr>
          <w:rStyle w:val="Lienhypertexte"/>
          <w:noProof/>
          <w:vanish/>
          <w:spacing w:val="-8"/>
        </w:rPr>
        <w:t xml:space="preserve"> </w:t>
      </w:r>
      <w:r w:rsidR="00DE1362" w:rsidRPr="008166D7">
        <w:rPr>
          <w:rStyle w:val="Lienhypertexte"/>
          <w:noProof/>
          <w:vanish/>
        </w:rPr>
        <w:t>PROCESS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_Toc111575063 \h </w:instrText>
      </w:r>
      <w:r w:rsidR="00DE1362" w:rsidRPr="008166D7">
        <w:rPr>
          <w:noProof/>
          <w:vanish/>
          <w:webHidden/>
        </w:rPr>
      </w:r>
      <w:r w:rsidR="00DE1362" w:rsidRPr="008166D7">
        <w:rPr>
          <w:noProof/>
          <w:vanish/>
          <w:webHidden/>
        </w:rPr>
        <w:fldChar w:fldCharType="separate"/>
      </w:r>
      <w:r w:rsidR="00DE1362" w:rsidRPr="008166D7">
        <w:rPr>
          <w:noProof/>
          <w:vanish/>
          <w:webHidden/>
        </w:rPr>
        <w:t>23</w:t>
      </w:r>
      <w:r w:rsidR="00DE1362" w:rsidRPr="008166D7">
        <w:rPr>
          <w:noProof/>
          <w:vanish/>
          <w:webHidden/>
        </w:rPr>
        <w:fldChar w:fldCharType="end"/>
      </w:r>
      <w:r w:rsidRPr="008166D7">
        <w:rPr>
          <w:noProof/>
          <w:vanish/>
        </w:rPr>
        <w:fldChar w:fldCharType="end"/>
      </w:r>
    </w:p>
    <w:p w14:paraId="6A545FFB" w14:textId="3D932870" w:rsidR="00DE1362" w:rsidRPr="008166D7" w:rsidRDefault="00000000">
      <w:pPr>
        <w:pStyle w:val="TM1"/>
        <w:tabs>
          <w:tab w:val="left" w:pos="1019"/>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5.0</w:t>
      </w:r>
      <w:r w:rsidR="00DE1362" w:rsidRPr="008166D7">
        <w:rPr>
          <w:rFonts w:eastAsiaTheme="minorEastAsia"/>
          <w:noProof/>
          <w:vanish/>
        </w:rPr>
        <w:tab/>
      </w:r>
      <w:r w:rsidR="00DE1362" w:rsidRPr="008166D7">
        <w:rPr>
          <w:rStyle w:val="Lienhypertexte"/>
          <w:noProof/>
          <w:vanish/>
        </w:rPr>
        <w:t>PUBLIC SUBMISSION ProcesS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_Toc111575064 \h </w:instrText>
      </w:r>
      <w:r w:rsidR="00DE1362" w:rsidRPr="008166D7">
        <w:rPr>
          <w:noProof/>
          <w:vanish/>
          <w:webHidden/>
        </w:rPr>
      </w:r>
      <w:r w:rsidR="00DE1362" w:rsidRPr="008166D7">
        <w:rPr>
          <w:noProof/>
          <w:vanish/>
          <w:webHidden/>
        </w:rPr>
        <w:fldChar w:fldCharType="separate"/>
      </w:r>
      <w:r w:rsidR="00DE1362" w:rsidRPr="008166D7">
        <w:rPr>
          <w:noProof/>
          <w:vanish/>
          <w:webHidden/>
        </w:rPr>
        <w:t>25</w:t>
      </w:r>
      <w:r w:rsidR="00DE1362" w:rsidRPr="008166D7">
        <w:rPr>
          <w:noProof/>
          <w:vanish/>
          <w:webHidden/>
        </w:rPr>
        <w:fldChar w:fldCharType="end"/>
      </w:r>
      <w:r w:rsidRPr="008166D7">
        <w:rPr>
          <w:noProof/>
          <w:vanish/>
        </w:rPr>
        <w:fldChar w:fldCharType="end"/>
      </w:r>
    </w:p>
    <w:p w14:paraId="41F30C9B" w14:textId="28218B87"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5.1</w:t>
      </w:r>
      <w:r w:rsidR="00DE1362" w:rsidRPr="008166D7">
        <w:rPr>
          <w:rFonts w:eastAsiaTheme="minorEastAsia"/>
          <w:noProof/>
          <w:vanish/>
        </w:rPr>
        <w:tab/>
      </w:r>
      <w:r w:rsidR="00DE1362" w:rsidRPr="008166D7">
        <w:rPr>
          <w:rStyle w:val="Lienhypertexte"/>
          <w:noProof/>
          <w:vanish/>
        </w:rPr>
        <w:t>PUBLIC SUBMISSIONS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_Toc111575065 \h </w:instrText>
      </w:r>
      <w:r w:rsidR="00DE1362" w:rsidRPr="008166D7">
        <w:rPr>
          <w:noProof/>
          <w:vanish/>
          <w:webHidden/>
        </w:rPr>
      </w:r>
      <w:r w:rsidR="00DE1362" w:rsidRPr="008166D7">
        <w:rPr>
          <w:noProof/>
          <w:vanish/>
          <w:webHidden/>
        </w:rPr>
        <w:fldChar w:fldCharType="separate"/>
      </w:r>
      <w:r w:rsidR="00DE1362" w:rsidRPr="008166D7">
        <w:rPr>
          <w:noProof/>
          <w:vanish/>
          <w:webHidden/>
        </w:rPr>
        <w:t>25</w:t>
      </w:r>
      <w:r w:rsidR="00DE1362" w:rsidRPr="008166D7">
        <w:rPr>
          <w:noProof/>
          <w:vanish/>
          <w:webHidden/>
        </w:rPr>
        <w:fldChar w:fldCharType="end"/>
      </w:r>
      <w:r w:rsidRPr="008166D7">
        <w:rPr>
          <w:noProof/>
          <w:vanish/>
        </w:rPr>
        <w:fldChar w:fldCharType="end"/>
      </w:r>
    </w:p>
    <w:p w14:paraId="243769C8" w14:textId="2E6E5CAD"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5.2</w:t>
      </w:r>
      <w:r w:rsidR="00DE1362" w:rsidRPr="008166D7">
        <w:rPr>
          <w:rFonts w:eastAsiaTheme="minorEastAsia"/>
          <w:noProof/>
          <w:vanish/>
        </w:rPr>
        <w:tab/>
      </w:r>
      <w:r w:rsidR="00DE1362" w:rsidRPr="008166D7">
        <w:rPr>
          <w:rStyle w:val="Lienhypertexte"/>
          <w:noProof/>
          <w:vanish/>
        </w:rPr>
        <w:t>QEC RESPONSES TO PUBLIC SUBMISSIONS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_Toc111575066 \h </w:instrText>
      </w:r>
      <w:r w:rsidR="00DE1362" w:rsidRPr="008166D7">
        <w:rPr>
          <w:noProof/>
          <w:vanish/>
          <w:webHidden/>
        </w:rPr>
      </w:r>
      <w:r w:rsidR="00DE1362" w:rsidRPr="008166D7">
        <w:rPr>
          <w:noProof/>
          <w:vanish/>
          <w:webHidden/>
        </w:rPr>
        <w:fldChar w:fldCharType="separate"/>
      </w:r>
      <w:r w:rsidR="00DE1362" w:rsidRPr="008166D7">
        <w:rPr>
          <w:noProof/>
          <w:vanish/>
          <w:webHidden/>
        </w:rPr>
        <w:t>27</w:t>
      </w:r>
      <w:r w:rsidR="00DE1362" w:rsidRPr="008166D7">
        <w:rPr>
          <w:noProof/>
          <w:vanish/>
          <w:webHidden/>
        </w:rPr>
        <w:fldChar w:fldCharType="end"/>
      </w:r>
      <w:r w:rsidRPr="008166D7">
        <w:rPr>
          <w:noProof/>
          <w:vanish/>
        </w:rPr>
        <w:fldChar w:fldCharType="end"/>
      </w:r>
    </w:p>
    <w:p w14:paraId="7CE1DE77" w14:textId="3EA7216E"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5.3</w:t>
      </w:r>
      <w:r w:rsidR="00DE1362" w:rsidRPr="008166D7">
        <w:rPr>
          <w:rFonts w:eastAsiaTheme="minorEastAsia"/>
          <w:noProof/>
          <w:vanish/>
        </w:rPr>
        <w:tab/>
      </w:r>
      <w:r w:rsidR="00DE1362" w:rsidRPr="008166D7">
        <w:rPr>
          <w:rStyle w:val="Lienhypertexte"/>
          <w:noProof/>
          <w:vanish/>
        </w:rPr>
        <w:t>URRC RESPONSE TO PUBLIC SUBMISSIONS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_Toc111575067 \h </w:instrText>
      </w:r>
      <w:r w:rsidR="00DE1362" w:rsidRPr="008166D7">
        <w:rPr>
          <w:noProof/>
          <w:vanish/>
          <w:webHidden/>
        </w:rPr>
      </w:r>
      <w:r w:rsidR="00DE1362" w:rsidRPr="008166D7">
        <w:rPr>
          <w:noProof/>
          <w:vanish/>
          <w:webHidden/>
        </w:rPr>
        <w:fldChar w:fldCharType="separate"/>
      </w:r>
      <w:r w:rsidR="00DE1362" w:rsidRPr="008166D7">
        <w:rPr>
          <w:noProof/>
          <w:vanish/>
          <w:webHidden/>
        </w:rPr>
        <w:t>27</w:t>
      </w:r>
      <w:r w:rsidR="00DE1362" w:rsidRPr="008166D7">
        <w:rPr>
          <w:noProof/>
          <w:vanish/>
          <w:webHidden/>
        </w:rPr>
        <w:fldChar w:fldCharType="end"/>
      </w:r>
      <w:r w:rsidRPr="008166D7">
        <w:rPr>
          <w:noProof/>
          <w:vanish/>
        </w:rPr>
        <w:fldChar w:fldCharType="end"/>
      </w:r>
    </w:p>
    <w:p w14:paraId="00208002" w14:textId="1E328E03" w:rsidR="00DE1362" w:rsidRPr="008166D7" w:rsidRDefault="00000000">
      <w:pPr>
        <w:pStyle w:val="TM1"/>
        <w:tabs>
          <w:tab w:val="left" w:pos="1019"/>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6.0</w:t>
      </w:r>
      <w:r w:rsidR="00DE1362" w:rsidRPr="008166D7">
        <w:rPr>
          <w:rFonts w:eastAsiaTheme="minorEastAsia"/>
          <w:noProof/>
          <w:vanish/>
        </w:rPr>
        <w:tab/>
      </w:r>
      <w:r w:rsidR="00DE1362" w:rsidRPr="008166D7">
        <w:rPr>
          <w:rStyle w:val="Lienhypertexte"/>
          <w:noProof/>
          <w:vanish/>
        </w:rPr>
        <w:t>EXAMINATION</w:t>
      </w:r>
      <w:r w:rsidR="00DE1362" w:rsidRPr="008166D7">
        <w:rPr>
          <w:rStyle w:val="Lienhypertexte"/>
          <w:noProof/>
          <w:vanish/>
          <w:spacing w:val="-5"/>
        </w:rPr>
        <w:t xml:space="preserve"> </w:t>
      </w:r>
      <w:r w:rsidR="00DE1362" w:rsidRPr="008166D7">
        <w:rPr>
          <w:rStyle w:val="Lienhypertexte"/>
          <w:noProof/>
          <w:vanish/>
        </w:rPr>
        <w:t>OF</w:t>
      </w:r>
      <w:r w:rsidR="00DE1362" w:rsidRPr="008166D7">
        <w:rPr>
          <w:rStyle w:val="Lienhypertexte"/>
          <w:noProof/>
          <w:vanish/>
          <w:spacing w:val="-6"/>
        </w:rPr>
        <w:t xml:space="preserve"> </w:t>
      </w:r>
      <w:r w:rsidR="00DE1362" w:rsidRPr="008166D7">
        <w:rPr>
          <w:rStyle w:val="Lienhypertexte"/>
          <w:noProof/>
          <w:vanish/>
        </w:rPr>
        <w:t>THE</w:t>
      </w:r>
      <w:r w:rsidR="00DE1362" w:rsidRPr="008166D7">
        <w:rPr>
          <w:rStyle w:val="Lienhypertexte"/>
          <w:noProof/>
          <w:vanish/>
          <w:spacing w:val="-3"/>
        </w:rPr>
        <w:t xml:space="preserve"> </w:t>
      </w:r>
      <w:r w:rsidR="00DE1362" w:rsidRPr="008166D7">
        <w:rPr>
          <w:rStyle w:val="Lienhypertexte"/>
          <w:noProof/>
          <w:vanish/>
        </w:rPr>
        <w:t>APPLICATION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_Toc111575068 \h </w:instrText>
      </w:r>
      <w:r w:rsidR="00DE1362" w:rsidRPr="008166D7">
        <w:rPr>
          <w:noProof/>
          <w:vanish/>
          <w:webHidden/>
        </w:rPr>
      </w:r>
      <w:r w:rsidR="00DE1362" w:rsidRPr="008166D7">
        <w:rPr>
          <w:noProof/>
          <w:vanish/>
          <w:webHidden/>
        </w:rPr>
        <w:fldChar w:fldCharType="separate"/>
      </w:r>
      <w:r w:rsidR="00DE1362" w:rsidRPr="008166D7">
        <w:rPr>
          <w:noProof/>
          <w:vanish/>
          <w:webHidden/>
        </w:rPr>
        <w:t>29</w:t>
      </w:r>
      <w:r w:rsidR="00DE1362" w:rsidRPr="008166D7">
        <w:rPr>
          <w:noProof/>
          <w:vanish/>
          <w:webHidden/>
        </w:rPr>
        <w:fldChar w:fldCharType="end"/>
      </w:r>
      <w:r w:rsidRPr="008166D7">
        <w:rPr>
          <w:noProof/>
          <w:vanish/>
        </w:rPr>
        <w:fldChar w:fldCharType="end"/>
      </w:r>
    </w:p>
    <w:p w14:paraId="79DB7B1B" w14:textId="77E2D5E2"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w:t>
      </w:r>
      <w:r w:rsidR="00DE1362" w:rsidRPr="008166D7">
        <w:rPr>
          <w:rFonts w:eastAsiaTheme="minorEastAsia"/>
          <w:noProof/>
          <w:vanish/>
        </w:rPr>
        <w:tab/>
      </w:r>
      <w:r w:rsidR="00DE1362" w:rsidRPr="008166D7">
        <w:rPr>
          <w:rStyle w:val="Lienhypertexte"/>
          <w:noProof/>
          <w:vanish/>
        </w:rPr>
        <w:t>REVENUE (SALES and NON-SALES) AND GENERATION FORECAST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_Toc111575069 \h </w:instrText>
      </w:r>
      <w:r w:rsidR="00DE1362" w:rsidRPr="008166D7">
        <w:rPr>
          <w:noProof/>
          <w:vanish/>
          <w:webHidden/>
        </w:rPr>
      </w:r>
      <w:r w:rsidR="00DE1362" w:rsidRPr="008166D7">
        <w:rPr>
          <w:noProof/>
          <w:vanish/>
          <w:webHidden/>
        </w:rPr>
        <w:fldChar w:fldCharType="separate"/>
      </w:r>
      <w:r w:rsidR="00DE1362" w:rsidRPr="008166D7">
        <w:rPr>
          <w:noProof/>
          <w:vanish/>
          <w:webHidden/>
        </w:rPr>
        <w:t>29</w:t>
      </w:r>
      <w:r w:rsidR="00DE1362" w:rsidRPr="008166D7">
        <w:rPr>
          <w:noProof/>
          <w:vanish/>
          <w:webHidden/>
        </w:rPr>
        <w:fldChar w:fldCharType="end"/>
      </w:r>
      <w:r w:rsidRPr="008166D7">
        <w:rPr>
          <w:noProof/>
          <w:vanish/>
        </w:rPr>
        <w:fldChar w:fldCharType="end"/>
      </w:r>
    </w:p>
    <w:p w14:paraId="740EA55B" w14:textId="7045BBCB"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6.1.1</w:t>
      </w:r>
      <w:r w:rsidR="00DE1362" w:rsidRPr="008166D7">
        <w:rPr>
          <w:rFonts w:eastAsiaTheme="minorEastAsia"/>
          <w:noProof/>
          <w:vanish/>
        </w:rPr>
        <w:tab/>
      </w:r>
      <w:r w:rsidR="00DE1362" w:rsidRPr="008166D7">
        <w:rPr>
          <w:rStyle w:val="Lienhypertexte"/>
          <w:noProof/>
          <w:vanish/>
        </w:rPr>
        <w:t>SALES BY RATE CLASS AND TOTAL SALES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_Toc111575070 \h </w:instrText>
      </w:r>
      <w:r w:rsidR="00DE1362" w:rsidRPr="008166D7">
        <w:rPr>
          <w:noProof/>
          <w:vanish/>
          <w:webHidden/>
        </w:rPr>
      </w:r>
      <w:r w:rsidR="00DE1362" w:rsidRPr="008166D7">
        <w:rPr>
          <w:noProof/>
          <w:vanish/>
          <w:webHidden/>
        </w:rPr>
        <w:fldChar w:fldCharType="separate"/>
      </w:r>
      <w:r w:rsidR="00DE1362" w:rsidRPr="008166D7">
        <w:rPr>
          <w:noProof/>
          <w:vanish/>
          <w:webHidden/>
        </w:rPr>
        <w:t>29</w:t>
      </w:r>
      <w:r w:rsidR="00DE1362" w:rsidRPr="008166D7">
        <w:rPr>
          <w:noProof/>
          <w:vanish/>
          <w:webHidden/>
        </w:rPr>
        <w:fldChar w:fldCharType="end"/>
      </w:r>
      <w:r w:rsidRPr="008166D7">
        <w:rPr>
          <w:noProof/>
          <w:vanish/>
        </w:rPr>
        <w:fldChar w:fldCharType="end"/>
      </w:r>
    </w:p>
    <w:p w14:paraId="70EA8785" w14:textId="54E18E9D"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6.1.2</w:t>
      </w:r>
      <w:r w:rsidR="00DE1362" w:rsidRPr="008166D7">
        <w:rPr>
          <w:rFonts w:eastAsiaTheme="minorEastAsia"/>
          <w:noProof/>
          <w:vanish/>
        </w:rPr>
        <w:tab/>
      </w:r>
      <w:r w:rsidR="00DE1362" w:rsidRPr="008166D7">
        <w:rPr>
          <w:rStyle w:val="Lienhypertexte"/>
          <w:noProof/>
          <w:vanish/>
        </w:rPr>
        <w:t>CUSTOMER FORECAST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_Toc111575071 \h </w:instrText>
      </w:r>
      <w:r w:rsidR="00DE1362" w:rsidRPr="008166D7">
        <w:rPr>
          <w:noProof/>
          <w:vanish/>
          <w:webHidden/>
        </w:rPr>
      </w:r>
      <w:r w:rsidR="00DE1362" w:rsidRPr="008166D7">
        <w:rPr>
          <w:noProof/>
          <w:vanish/>
          <w:webHidden/>
        </w:rPr>
        <w:fldChar w:fldCharType="separate"/>
      </w:r>
      <w:r w:rsidR="00DE1362" w:rsidRPr="008166D7">
        <w:rPr>
          <w:noProof/>
          <w:vanish/>
          <w:webHidden/>
        </w:rPr>
        <w:t>30</w:t>
      </w:r>
      <w:r w:rsidR="00DE1362" w:rsidRPr="008166D7">
        <w:rPr>
          <w:noProof/>
          <w:vanish/>
          <w:webHidden/>
        </w:rPr>
        <w:fldChar w:fldCharType="end"/>
      </w:r>
      <w:r w:rsidRPr="008166D7">
        <w:rPr>
          <w:noProof/>
          <w:vanish/>
        </w:rPr>
        <w:fldChar w:fldCharType="end"/>
      </w:r>
    </w:p>
    <w:p w14:paraId="705DF612" w14:textId="55836E81"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6.1.3</w:t>
      </w:r>
      <w:r w:rsidR="00DE1362" w:rsidRPr="008166D7">
        <w:rPr>
          <w:rFonts w:eastAsiaTheme="minorEastAsia"/>
          <w:noProof/>
          <w:vanish/>
        </w:rPr>
        <w:tab/>
      </w:r>
      <w:r w:rsidR="00DE1362" w:rsidRPr="008166D7">
        <w:rPr>
          <w:rStyle w:val="Lienhypertexte"/>
          <w:noProof/>
          <w:vanish/>
        </w:rPr>
        <w:t>USAGE PER CUSTOMER</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_Toc111575072 \h </w:instrText>
      </w:r>
      <w:r w:rsidR="00DE1362" w:rsidRPr="008166D7">
        <w:rPr>
          <w:noProof/>
          <w:vanish/>
          <w:webHidden/>
        </w:rPr>
      </w:r>
      <w:r w:rsidR="00DE1362" w:rsidRPr="008166D7">
        <w:rPr>
          <w:noProof/>
          <w:vanish/>
          <w:webHidden/>
        </w:rPr>
        <w:fldChar w:fldCharType="separate"/>
      </w:r>
      <w:r w:rsidR="00DE1362" w:rsidRPr="008166D7">
        <w:rPr>
          <w:noProof/>
          <w:vanish/>
          <w:webHidden/>
        </w:rPr>
        <w:t>30</w:t>
      </w:r>
      <w:r w:rsidR="00DE1362" w:rsidRPr="008166D7">
        <w:rPr>
          <w:noProof/>
          <w:vanish/>
          <w:webHidden/>
        </w:rPr>
        <w:fldChar w:fldCharType="end"/>
      </w:r>
      <w:r w:rsidRPr="008166D7">
        <w:rPr>
          <w:noProof/>
          <w:vanish/>
        </w:rPr>
        <w:fldChar w:fldCharType="end"/>
      </w:r>
    </w:p>
    <w:p w14:paraId="5FB5FB03" w14:textId="38AD54F2"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6.1.4</w:t>
      </w:r>
      <w:r w:rsidR="00DE1362" w:rsidRPr="008166D7">
        <w:rPr>
          <w:rFonts w:eastAsiaTheme="minorEastAsia"/>
          <w:noProof/>
          <w:vanish/>
        </w:rPr>
        <w:tab/>
      </w:r>
      <w:r w:rsidR="00DE1362" w:rsidRPr="008166D7">
        <w:rPr>
          <w:rStyle w:val="Lienhypertexte"/>
          <w:noProof/>
          <w:vanish/>
        </w:rPr>
        <w:t>STREET LIGHT SALES FORECAST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_Toc111575073 \h </w:instrText>
      </w:r>
      <w:r w:rsidR="00DE1362" w:rsidRPr="008166D7">
        <w:rPr>
          <w:noProof/>
          <w:vanish/>
          <w:webHidden/>
        </w:rPr>
      </w:r>
      <w:r w:rsidR="00DE1362" w:rsidRPr="008166D7">
        <w:rPr>
          <w:noProof/>
          <w:vanish/>
          <w:webHidden/>
        </w:rPr>
        <w:fldChar w:fldCharType="separate"/>
      </w:r>
      <w:r w:rsidR="00DE1362" w:rsidRPr="008166D7">
        <w:rPr>
          <w:noProof/>
          <w:vanish/>
          <w:webHidden/>
        </w:rPr>
        <w:t>31</w:t>
      </w:r>
      <w:r w:rsidR="00DE1362" w:rsidRPr="008166D7">
        <w:rPr>
          <w:noProof/>
          <w:vanish/>
          <w:webHidden/>
        </w:rPr>
        <w:fldChar w:fldCharType="end"/>
      </w:r>
      <w:r w:rsidRPr="008166D7">
        <w:rPr>
          <w:noProof/>
          <w:vanish/>
        </w:rPr>
        <w:fldChar w:fldCharType="end"/>
      </w:r>
    </w:p>
    <w:p w14:paraId="636B8046" w14:textId="13AC6225"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6.1.5</w:t>
      </w:r>
      <w:r w:rsidR="00DE1362" w:rsidRPr="008166D7">
        <w:rPr>
          <w:rFonts w:eastAsiaTheme="minorEastAsia"/>
          <w:noProof/>
          <w:vanish/>
        </w:rPr>
        <w:tab/>
      </w:r>
      <w:r w:rsidR="00DE1362" w:rsidRPr="008166D7">
        <w:rPr>
          <w:rStyle w:val="Lienhypertexte"/>
          <w:noProof/>
          <w:vanish/>
        </w:rPr>
        <w:t>GENERATION FORECAST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_Toc111575074 \h </w:instrText>
      </w:r>
      <w:r w:rsidR="00DE1362" w:rsidRPr="008166D7">
        <w:rPr>
          <w:noProof/>
          <w:vanish/>
          <w:webHidden/>
        </w:rPr>
      </w:r>
      <w:r w:rsidR="00DE1362" w:rsidRPr="008166D7">
        <w:rPr>
          <w:noProof/>
          <w:vanish/>
          <w:webHidden/>
        </w:rPr>
        <w:fldChar w:fldCharType="separate"/>
      </w:r>
      <w:r w:rsidR="00DE1362" w:rsidRPr="008166D7">
        <w:rPr>
          <w:noProof/>
          <w:vanish/>
          <w:webHidden/>
        </w:rPr>
        <w:t>32</w:t>
      </w:r>
      <w:r w:rsidR="00DE1362" w:rsidRPr="008166D7">
        <w:rPr>
          <w:noProof/>
          <w:vanish/>
          <w:webHidden/>
        </w:rPr>
        <w:fldChar w:fldCharType="end"/>
      </w:r>
      <w:r w:rsidRPr="008166D7">
        <w:rPr>
          <w:noProof/>
          <w:vanish/>
        </w:rPr>
        <w:fldChar w:fldCharType="end"/>
      </w:r>
    </w:p>
    <w:p w14:paraId="2E24E3A2" w14:textId="2E0B39F9"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6.1.6</w:t>
      </w:r>
      <w:r w:rsidR="00DE1362" w:rsidRPr="008166D7">
        <w:rPr>
          <w:rFonts w:eastAsiaTheme="minorEastAsia"/>
          <w:noProof/>
          <w:vanish/>
        </w:rPr>
        <w:tab/>
      </w:r>
      <w:r w:rsidR="00DE1362" w:rsidRPr="008166D7">
        <w:rPr>
          <w:rStyle w:val="Lienhypertexte"/>
          <w:noProof/>
          <w:vanish/>
        </w:rPr>
        <w:t>NON-ELECTRICITY REVENUE FORECAST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_Toc111575075 \h </w:instrText>
      </w:r>
      <w:r w:rsidR="00DE1362" w:rsidRPr="008166D7">
        <w:rPr>
          <w:noProof/>
          <w:vanish/>
          <w:webHidden/>
        </w:rPr>
      </w:r>
      <w:r w:rsidR="00DE1362" w:rsidRPr="008166D7">
        <w:rPr>
          <w:noProof/>
          <w:vanish/>
          <w:webHidden/>
        </w:rPr>
        <w:fldChar w:fldCharType="separate"/>
      </w:r>
      <w:r w:rsidR="00DE1362" w:rsidRPr="008166D7">
        <w:rPr>
          <w:noProof/>
          <w:vanish/>
          <w:webHidden/>
        </w:rPr>
        <w:t>33</w:t>
      </w:r>
      <w:r w:rsidR="00DE1362" w:rsidRPr="008166D7">
        <w:rPr>
          <w:noProof/>
          <w:vanish/>
          <w:webHidden/>
        </w:rPr>
        <w:fldChar w:fldCharType="end"/>
      </w:r>
      <w:r w:rsidRPr="008166D7">
        <w:rPr>
          <w:noProof/>
          <w:vanish/>
        </w:rPr>
        <w:fldChar w:fldCharType="end"/>
      </w:r>
    </w:p>
    <w:p w14:paraId="583D8E66" w14:textId="140DFDDC"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6.2</w:t>
      </w:r>
      <w:r w:rsidR="00DE1362" w:rsidRPr="008166D7">
        <w:rPr>
          <w:rFonts w:eastAsiaTheme="minorEastAsia"/>
          <w:noProof/>
          <w:vanish/>
        </w:rPr>
        <w:tab/>
      </w:r>
      <w:r w:rsidR="00DE1362" w:rsidRPr="008166D7">
        <w:rPr>
          <w:rStyle w:val="Lienhypertexte"/>
          <w:noProof/>
          <w:vanish/>
        </w:rPr>
        <w:t>OPERATION AND MAINTENANCE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_Toc111575076 \h </w:instrText>
      </w:r>
      <w:r w:rsidR="00DE1362" w:rsidRPr="008166D7">
        <w:rPr>
          <w:noProof/>
          <w:vanish/>
          <w:webHidden/>
        </w:rPr>
      </w:r>
      <w:r w:rsidR="00DE1362" w:rsidRPr="008166D7">
        <w:rPr>
          <w:noProof/>
          <w:vanish/>
          <w:webHidden/>
        </w:rPr>
        <w:fldChar w:fldCharType="separate"/>
      </w:r>
      <w:r w:rsidR="00DE1362" w:rsidRPr="008166D7">
        <w:rPr>
          <w:noProof/>
          <w:vanish/>
          <w:webHidden/>
        </w:rPr>
        <w:t>34</w:t>
      </w:r>
      <w:r w:rsidR="00DE1362" w:rsidRPr="008166D7">
        <w:rPr>
          <w:noProof/>
          <w:vanish/>
          <w:webHidden/>
        </w:rPr>
        <w:fldChar w:fldCharType="end"/>
      </w:r>
      <w:r w:rsidRPr="008166D7">
        <w:rPr>
          <w:noProof/>
          <w:vanish/>
        </w:rPr>
        <w:fldChar w:fldCharType="end"/>
      </w:r>
    </w:p>
    <w:p w14:paraId="4C8CC302" w14:textId="6D63D1AE"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6.2.1</w:t>
      </w:r>
      <w:r w:rsidR="00DE1362" w:rsidRPr="008166D7">
        <w:rPr>
          <w:rFonts w:eastAsiaTheme="minorEastAsia"/>
          <w:noProof/>
          <w:vanish/>
        </w:rPr>
        <w:tab/>
      </w:r>
      <w:r w:rsidR="00DE1362" w:rsidRPr="008166D7">
        <w:rPr>
          <w:rStyle w:val="Lienhypertexte"/>
          <w:noProof/>
          <w:vanish/>
        </w:rPr>
        <w:t>O&amp;M – SALARIES AND WAGES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_Toc111575077 \h </w:instrText>
      </w:r>
      <w:r w:rsidR="00DE1362" w:rsidRPr="008166D7">
        <w:rPr>
          <w:noProof/>
          <w:vanish/>
          <w:webHidden/>
        </w:rPr>
      </w:r>
      <w:r w:rsidR="00DE1362" w:rsidRPr="008166D7">
        <w:rPr>
          <w:noProof/>
          <w:vanish/>
          <w:webHidden/>
        </w:rPr>
        <w:fldChar w:fldCharType="separate"/>
      </w:r>
      <w:r w:rsidR="00DE1362" w:rsidRPr="008166D7">
        <w:rPr>
          <w:noProof/>
          <w:vanish/>
          <w:webHidden/>
        </w:rPr>
        <w:t>34</w:t>
      </w:r>
      <w:r w:rsidR="00DE1362" w:rsidRPr="008166D7">
        <w:rPr>
          <w:noProof/>
          <w:vanish/>
          <w:webHidden/>
        </w:rPr>
        <w:fldChar w:fldCharType="end"/>
      </w:r>
      <w:r w:rsidRPr="008166D7">
        <w:rPr>
          <w:noProof/>
          <w:vanish/>
        </w:rPr>
        <w:fldChar w:fldCharType="end"/>
      </w:r>
    </w:p>
    <w:p w14:paraId="4F220967" w14:textId="6067640E"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6.2.2</w:t>
      </w:r>
      <w:r w:rsidR="00DE1362" w:rsidRPr="008166D7">
        <w:rPr>
          <w:rFonts w:eastAsiaTheme="minorEastAsia"/>
          <w:noProof/>
          <w:vanish/>
        </w:rPr>
        <w:tab/>
      </w:r>
      <w:r w:rsidR="00DE1362" w:rsidRPr="008166D7">
        <w:rPr>
          <w:rStyle w:val="Lienhypertexte"/>
          <w:noProof/>
          <w:vanish/>
        </w:rPr>
        <w:t>O&amp;M – SUPPLIES AND SERVICES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_Toc111575078 \h </w:instrText>
      </w:r>
      <w:r w:rsidR="00DE1362" w:rsidRPr="008166D7">
        <w:rPr>
          <w:noProof/>
          <w:vanish/>
          <w:webHidden/>
        </w:rPr>
      </w:r>
      <w:r w:rsidR="00DE1362" w:rsidRPr="008166D7">
        <w:rPr>
          <w:noProof/>
          <w:vanish/>
          <w:webHidden/>
        </w:rPr>
        <w:fldChar w:fldCharType="separate"/>
      </w:r>
      <w:r w:rsidR="00DE1362" w:rsidRPr="008166D7">
        <w:rPr>
          <w:noProof/>
          <w:vanish/>
          <w:webHidden/>
        </w:rPr>
        <w:t>36</w:t>
      </w:r>
      <w:r w:rsidR="00DE1362" w:rsidRPr="008166D7">
        <w:rPr>
          <w:noProof/>
          <w:vanish/>
          <w:webHidden/>
        </w:rPr>
        <w:fldChar w:fldCharType="end"/>
      </w:r>
      <w:r w:rsidRPr="008166D7">
        <w:rPr>
          <w:noProof/>
          <w:vanish/>
        </w:rPr>
        <w:fldChar w:fldCharType="end"/>
      </w:r>
    </w:p>
    <w:p w14:paraId="67CFA0E9" w14:textId="0742C6AF"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6.2.3</w:t>
      </w:r>
      <w:r w:rsidR="00DE1362" w:rsidRPr="008166D7">
        <w:rPr>
          <w:rFonts w:eastAsiaTheme="minorEastAsia"/>
          <w:noProof/>
          <w:vanish/>
        </w:rPr>
        <w:tab/>
      </w:r>
      <w:r w:rsidR="00DE1362" w:rsidRPr="008166D7">
        <w:rPr>
          <w:rStyle w:val="Lienhypertexte"/>
          <w:noProof/>
          <w:vanish/>
        </w:rPr>
        <w:t>O&amp;M – TRAVEL AND ACCOMMODATION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_Toc111575079 \h </w:instrText>
      </w:r>
      <w:r w:rsidR="00DE1362" w:rsidRPr="008166D7">
        <w:rPr>
          <w:noProof/>
          <w:vanish/>
          <w:webHidden/>
        </w:rPr>
      </w:r>
      <w:r w:rsidR="00DE1362" w:rsidRPr="008166D7">
        <w:rPr>
          <w:noProof/>
          <w:vanish/>
          <w:webHidden/>
        </w:rPr>
        <w:fldChar w:fldCharType="separate"/>
      </w:r>
      <w:r w:rsidR="00DE1362" w:rsidRPr="008166D7">
        <w:rPr>
          <w:noProof/>
          <w:vanish/>
          <w:webHidden/>
        </w:rPr>
        <w:t>37</w:t>
      </w:r>
      <w:r w:rsidR="00DE1362" w:rsidRPr="008166D7">
        <w:rPr>
          <w:noProof/>
          <w:vanish/>
          <w:webHidden/>
        </w:rPr>
        <w:fldChar w:fldCharType="end"/>
      </w:r>
      <w:r w:rsidRPr="008166D7">
        <w:rPr>
          <w:noProof/>
          <w:vanish/>
        </w:rPr>
        <w:fldChar w:fldCharType="end"/>
      </w:r>
    </w:p>
    <w:p w14:paraId="235D0B73" w14:textId="09461ECF"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6.2.4</w:t>
      </w:r>
      <w:r w:rsidR="00DE1362" w:rsidRPr="008166D7">
        <w:rPr>
          <w:rFonts w:eastAsiaTheme="minorEastAsia"/>
          <w:noProof/>
          <w:vanish/>
        </w:rPr>
        <w:tab/>
      </w:r>
      <w:r w:rsidR="00DE1362" w:rsidRPr="008166D7">
        <w:rPr>
          <w:rStyle w:val="Lienhypertexte"/>
          <w:noProof/>
          <w:vanish/>
        </w:rPr>
        <w:t>O&amp;M – SITE RESTORATION AND RELATED EXPENSES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_Toc111575080 \h </w:instrText>
      </w:r>
      <w:r w:rsidR="00DE1362" w:rsidRPr="008166D7">
        <w:rPr>
          <w:noProof/>
          <w:vanish/>
          <w:webHidden/>
        </w:rPr>
      </w:r>
      <w:r w:rsidR="00DE1362" w:rsidRPr="008166D7">
        <w:rPr>
          <w:noProof/>
          <w:vanish/>
          <w:webHidden/>
        </w:rPr>
        <w:fldChar w:fldCharType="separate"/>
      </w:r>
      <w:r w:rsidR="00DE1362" w:rsidRPr="008166D7">
        <w:rPr>
          <w:noProof/>
          <w:vanish/>
          <w:webHidden/>
        </w:rPr>
        <w:t>37</w:t>
      </w:r>
      <w:r w:rsidR="00DE1362" w:rsidRPr="008166D7">
        <w:rPr>
          <w:noProof/>
          <w:vanish/>
          <w:webHidden/>
        </w:rPr>
        <w:fldChar w:fldCharType="end"/>
      </w:r>
      <w:r w:rsidRPr="008166D7">
        <w:rPr>
          <w:noProof/>
          <w:vanish/>
        </w:rPr>
        <w:fldChar w:fldCharType="end"/>
      </w:r>
    </w:p>
    <w:p w14:paraId="438CF778" w14:textId="7A0E6593"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6.3</w:t>
      </w:r>
      <w:r w:rsidR="00DE1362" w:rsidRPr="008166D7">
        <w:rPr>
          <w:rFonts w:eastAsiaTheme="minorEastAsia"/>
          <w:noProof/>
          <w:vanish/>
        </w:rPr>
        <w:tab/>
      </w:r>
      <w:r w:rsidR="00DE1362" w:rsidRPr="008166D7">
        <w:rPr>
          <w:rStyle w:val="Lienhypertexte"/>
          <w:noProof/>
          <w:vanish/>
        </w:rPr>
        <w:t>PRODUCTION FUEL AND LUBRICANTS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_Toc111575081 \h </w:instrText>
      </w:r>
      <w:r w:rsidR="00DE1362" w:rsidRPr="008166D7">
        <w:rPr>
          <w:noProof/>
          <w:vanish/>
          <w:webHidden/>
        </w:rPr>
      </w:r>
      <w:r w:rsidR="00DE1362" w:rsidRPr="008166D7">
        <w:rPr>
          <w:noProof/>
          <w:vanish/>
          <w:webHidden/>
        </w:rPr>
        <w:fldChar w:fldCharType="separate"/>
      </w:r>
      <w:r w:rsidR="00DE1362" w:rsidRPr="008166D7">
        <w:rPr>
          <w:noProof/>
          <w:vanish/>
          <w:webHidden/>
        </w:rPr>
        <w:t>38</w:t>
      </w:r>
      <w:r w:rsidR="00DE1362" w:rsidRPr="008166D7">
        <w:rPr>
          <w:noProof/>
          <w:vanish/>
          <w:webHidden/>
        </w:rPr>
        <w:fldChar w:fldCharType="end"/>
      </w:r>
      <w:r w:rsidRPr="008166D7">
        <w:rPr>
          <w:noProof/>
          <w:vanish/>
        </w:rPr>
        <w:fldChar w:fldCharType="end"/>
      </w:r>
    </w:p>
    <w:p w14:paraId="11FE9562" w14:textId="06172A36"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6.3.1</w:t>
      </w:r>
      <w:r w:rsidR="00DE1362" w:rsidRPr="008166D7">
        <w:rPr>
          <w:rFonts w:eastAsiaTheme="minorEastAsia"/>
          <w:noProof/>
          <w:vanish/>
        </w:rPr>
        <w:tab/>
      </w:r>
      <w:r w:rsidR="00DE1362" w:rsidRPr="008166D7">
        <w:rPr>
          <w:rStyle w:val="Lienhypertexte"/>
          <w:noProof/>
          <w:vanish/>
        </w:rPr>
        <w:t>PRODUCTION FUEL</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_Toc111575082 \h </w:instrText>
      </w:r>
      <w:r w:rsidR="00DE1362" w:rsidRPr="008166D7">
        <w:rPr>
          <w:noProof/>
          <w:vanish/>
          <w:webHidden/>
        </w:rPr>
      </w:r>
      <w:r w:rsidR="00DE1362" w:rsidRPr="008166D7">
        <w:rPr>
          <w:noProof/>
          <w:vanish/>
          <w:webHidden/>
        </w:rPr>
        <w:fldChar w:fldCharType="separate"/>
      </w:r>
      <w:r w:rsidR="00DE1362" w:rsidRPr="008166D7">
        <w:rPr>
          <w:noProof/>
          <w:vanish/>
          <w:webHidden/>
        </w:rPr>
        <w:t>38</w:t>
      </w:r>
      <w:r w:rsidR="00DE1362" w:rsidRPr="008166D7">
        <w:rPr>
          <w:noProof/>
          <w:vanish/>
          <w:webHidden/>
        </w:rPr>
        <w:fldChar w:fldCharType="end"/>
      </w:r>
      <w:r w:rsidRPr="008166D7">
        <w:rPr>
          <w:noProof/>
          <w:vanish/>
        </w:rPr>
        <w:fldChar w:fldCharType="end"/>
      </w:r>
    </w:p>
    <w:p w14:paraId="6EB57B75" w14:textId="6E0CF88D"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6.3.2</w:t>
      </w:r>
      <w:r w:rsidR="00DE1362" w:rsidRPr="008166D7">
        <w:rPr>
          <w:rFonts w:eastAsiaTheme="minorEastAsia"/>
          <w:noProof/>
          <w:vanish/>
        </w:rPr>
        <w:tab/>
      </w:r>
      <w:r w:rsidR="00DE1362" w:rsidRPr="008166D7">
        <w:rPr>
          <w:rStyle w:val="Lienhypertexte"/>
          <w:noProof/>
          <w:vanish/>
        </w:rPr>
        <w:t>LUBRICANTS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_Toc111575083 \h </w:instrText>
      </w:r>
      <w:r w:rsidR="00DE1362" w:rsidRPr="008166D7">
        <w:rPr>
          <w:noProof/>
          <w:vanish/>
          <w:webHidden/>
        </w:rPr>
      </w:r>
      <w:r w:rsidR="00DE1362" w:rsidRPr="008166D7">
        <w:rPr>
          <w:noProof/>
          <w:vanish/>
          <w:webHidden/>
        </w:rPr>
        <w:fldChar w:fldCharType="separate"/>
      </w:r>
      <w:r w:rsidR="00DE1362" w:rsidRPr="008166D7">
        <w:rPr>
          <w:noProof/>
          <w:vanish/>
          <w:webHidden/>
        </w:rPr>
        <w:t>39</w:t>
      </w:r>
      <w:r w:rsidR="00DE1362" w:rsidRPr="008166D7">
        <w:rPr>
          <w:noProof/>
          <w:vanish/>
          <w:webHidden/>
        </w:rPr>
        <w:fldChar w:fldCharType="end"/>
      </w:r>
      <w:r w:rsidRPr="008166D7">
        <w:rPr>
          <w:noProof/>
          <w:vanish/>
        </w:rPr>
        <w:fldChar w:fldCharType="end"/>
      </w:r>
    </w:p>
    <w:p w14:paraId="434E33CF" w14:textId="4BFC7CBA"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6.4</w:t>
      </w:r>
      <w:r w:rsidR="00DE1362" w:rsidRPr="008166D7">
        <w:rPr>
          <w:rFonts w:eastAsiaTheme="minorEastAsia"/>
          <w:noProof/>
          <w:vanish/>
        </w:rPr>
        <w:tab/>
      </w:r>
      <w:r w:rsidR="00DE1362" w:rsidRPr="008166D7">
        <w:rPr>
          <w:rStyle w:val="Lienhypertexte"/>
          <w:noProof/>
          <w:vanish/>
        </w:rPr>
        <w:t>AMORTIZATION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_Toc111575084 \h </w:instrText>
      </w:r>
      <w:r w:rsidR="00DE1362" w:rsidRPr="008166D7">
        <w:rPr>
          <w:noProof/>
          <w:vanish/>
          <w:webHidden/>
        </w:rPr>
      </w:r>
      <w:r w:rsidR="00DE1362" w:rsidRPr="008166D7">
        <w:rPr>
          <w:noProof/>
          <w:vanish/>
          <w:webHidden/>
        </w:rPr>
        <w:fldChar w:fldCharType="separate"/>
      </w:r>
      <w:r w:rsidR="00DE1362" w:rsidRPr="008166D7">
        <w:rPr>
          <w:noProof/>
          <w:vanish/>
          <w:webHidden/>
        </w:rPr>
        <w:t>39</w:t>
      </w:r>
      <w:r w:rsidR="00DE1362" w:rsidRPr="008166D7">
        <w:rPr>
          <w:noProof/>
          <w:vanish/>
          <w:webHidden/>
        </w:rPr>
        <w:fldChar w:fldCharType="end"/>
      </w:r>
      <w:r w:rsidRPr="008166D7">
        <w:rPr>
          <w:noProof/>
          <w:vanish/>
        </w:rPr>
        <w:fldChar w:fldCharType="end"/>
      </w:r>
    </w:p>
    <w:p w14:paraId="2A26733A" w14:textId="62ED2B52"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6.5</w:t>
      </w:r>
      <w:r w:rsidR="00DE1362" w:rsidRPr="008166D7">
        <w:rPr>
          <w:rFonts w:eastAsiaTheme="minorEastAsia"/>
          <w:noProof/>
          <w:vanish/>
        </w:rPr>
        <w:tab/>
      </w:r>
      <w:r w:rsidR="00DE1362" w:rsidRPr="008166D7">
        <w:rPr>
          <w:rStyle w:val="Lienhypertexte"/>
          <w:noProof/>
          <w:vanish/>
        </w:rPr>
        <w:t>RETURN ON RATE BASE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_Toc111575085 \h </w:instrText>
      </w:r>
      <w:r w:rsidR="00DE1362" w:rsidRPr="008166D7">
        <w:rPr>
          <w:noProof/>
          <w:vanish/>
          <w:webHidden/>
        </w:rPr>
      </w:r>
      <w:r w:rsidR="00DE1362" w:rsidRPr="008166D7">
        <w:rPr>
          <w:noProof/>
          <w:vanish/>
          <w:webHidden/>
        </w:rPr>
        <w:fldChar w:fldCharType="separate"/>
      </w:r>
      <w:r w:rsidR="00DE1362" w:rsidRPr="008166D7">
        <w:rPr>
          <w:noProof/>
          <w:vanish/>
          <w:webHidden/>
        </w:rPr>
        <w:t>40</w:t>
      </w:r>
      <w:r w:rsidR="00DE1362" w:rsidRPr="008166D7">
        <w:rPr>
          <w:noProof/>
          <w:vanish/>
          <w:webHidden/>
        </w:rPr>
        <w:fldChar w:fldCharType="end"/>
      </w:r>
      <w:r w:rsidRPr="008166D7">
        <w:rPr>
          <w:noProof/>
          <w:vanish/>
        </w:rPr>
        <w:fldChar w:fldCharType="end"/>
      </w:r>
    </w:p>
    <w:p w14:paraId="201F488C" w14:textId="2E074D64"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6.5.1</w:t>
      </w:r>
      <w:r w:rsidR="00DE1362" w:rsidRPr="008166D7">
        <w:rPr>
          <w:rFonts w:eastAsiaTheme="minorEastAsia"/>
          <w:noProof/>
          <w:vanish/>
        </w:rPr>
        <w:tab/>
      </w:r>
      <w:r w:rsidR="00DE1362" w:rsidRPr="008166D7">
        <w:rPr>
          <w:rStyle w:val="Lienhypertexte"/>
          <w:noProof/>
          <w:vanish/>
        </w:rPr>
        <w:t>LONG-TERM DEBT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_Toc111575086 \h </w:instrText>
      </w:r>
      <w:r w:rsidR="00DE1362" w:rsidRPr="008166D7">
        <w:rPr>
          <w:noProof/>
          <w:vanish/>
          <w:webHidden/>
        </w:rPr>
      </w:r>
      <w:r w:rsidR="00DE1362" w:rsidRPr="008166D7">
        <w:rPr>
          <w:noProof/>
          <w:vanish/>
          <w:webHidden/>
        </w:rPr>
        <w:fldChar w:fldCharType="separate"/>
      </w:r>
      <w:r w:rsidR="00DE1362" w:rsidRPr="008166D7">
        <w:rPr>
          <w:noProof/>
          <w:vanish/>
          <w:webHidden/>
        </w:rPr>
        <w:t>40</w:t>
      </w:r>
      <w:r w:rsidR="00DE1362" w:rsidRPr="008166D7">
        <w:rPr>
          <w:noProof/>
          <w:vanish/>
          <w:webHidden/>
        </w:rPr>
        <w:fldChar w:fldCharType="end"/>
      </w:r>
      <w:r w:rsidRPr="008166D7">
        <w:rPr>
          <w:noProof/>
          <w:vanish/>
        </w:rPr>
        <w:fldChar w:fldCharType="end"/>
      </w:r>
    </w:p>
    <w:p w14:paraId="6B2ED97B" w14:textId="2FF4A425"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6.5.2</w:t>
      </w:r>
      <w:r w:rsidR="00DE1362" w:rsidRPr="008166D7">
        <w:rPr>
          <w:rFonts w:eastAsiaTheme="minorEastAsia"/>
          <w:noProof/>
          <w:vanish/>
        </w:rPr>
        <w:tab/>
      </w:r>
      <w:r w:rsidR="00DE1362" w:rsidRPr="008166D7">
        <w:rPr>
          <w:rStyle w:val="Lienhypertexte"/>
          <w:noProof/>
          <w:vanish/>
        </w:rPr>
        <w:t>NO-COST CAPITAL</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_Toc111575087 \h </w:instrText>
      </w:r>
      <w:r w:rsidR="00DE1362" w:rsidRPr="008166D7">
        <w:rPr>
          <w:noProof/>
          <w:vanish/>
          <w:webHidden/>
        </w:rPr>
      </w:r>
      <w:r w:rsidR="00DE1362" w:rsidRPr="008166D7">
        <w:rPr>
          <w:noProof/>
          <w:vanish/>
          <w:webHidden/>
        </w:rPr>
        <w:fldChar w:fldCharType="separate"/>
      </w:r>
      <w:r w:rsidR="00DE1362" w:rsidRPr="008166D7">
        <w:rPr>
          <w:noProof/>
          <w:vanish/>
          <w:webHidden/>
        </w:rPr>
        <w:t>42</w:t>
      </w:r>
      <w:r w:rsidR="00DE1362" w:rsidRPr="008166D7">
        <w:rPr>
          <w:noProof/>
          <w:vanish/>
          <w:webHidden/>
        </w:rPr>
        <w:fldChar w:fldCharType="end"/>
      </w:r>
      <w:r w:rsidRPr="008166D7">
        <w:rPr>
          <w:noProof/>
          <w:vanish/>
        </w:rPr>
        <w:fldChar w:fldCharType="end"/>
      </w:r>
    </w:p>
    <w:p w14:paraId="7F5A2D7B" w14:textId="052E1B80"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6.5.3</w:t>
      </w:r>
      <w:r w:rsidR="00DE1362" w:rsidRPr="008166D7">
        <w:rPr>
          <w:rFonts w:eastAsiaTheme="minorEastAsia"/>
          <w:noProof/>
          <w:vanish/>
        </w:rPr>
        <w:tab/>
      </w:r>
      <w:r w:rsidR="00DE1362" w:rsidRPr="008166D7">
        <w:rPr>
          <w:rStyle w:val="Lienhypertexte"/>
          <w:noProof/>
          <w:vanish/>
        </w:rPr>
        <w:t>COMMON EQUITY</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_Toc111575088 \h </w:instrText>
      </w:r>
      <w:r w:rsidR="00DE1362" w:rsidRPr="008166D7">
        <w:rPr>
          <w:noProof/>
          <w:vanish/>
          <w:webHidden/>
        </w:rPr>
      </w:r>
      <w:r w:rsidR="00DE1362" w:rsidRPr="008166D7">
        <w:rPr>
          <w:noProof/>
          <w:vanish/>
          <w:webHidden/>
        </w:rPr>
        <w:fldChar w:fldCharType="separate"/>
      </w:r>
      <w:r w:rsidR="00DE1362" w:rsidRPr="008166D7">
        <w:rPr>
          <w:noProof/>
          <w:vanish/>
          <w:webHidden/>
        </w:rPr>
        <w:t>42</w:t>
      </w:r>
      <w:r w:rsidR="00DE1362" w:rsidRPr="008166D7">
        <w:rPr>
          <w:noProof/>
          <w:vanish/>
          <w:webHidden/>
        </w:rPr>
        <w:fldChar w:fldCharType="end"/>
      </w:r>
      <w:r w:rsidRPr="008166D7">
        <w:rPr>
          <w:noProof/>
          <w:vanish/>
        </w:rPr>
        <w:fldChar w:fldCharType="end"/>
      </w:r>
    </w:p>
    <w:p w14:paraId="418FB3CE" w14:textId="528BC1E0"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6.6</w:t>
      </w:r>
      <w:r w:rsidR="00DE1362" w:rsidRPr="008166D7">
        <w:rPr>
          <w:rFonts w:eastAsiaTheme="minorEastAsia"/>
          <w:noProof/>
          <w:vanish/>
        </w:rPr>
        <w:tab/>
      </w:r>
      <w:r w:rsidR="00DE1362" w:rsidRPr="008166D7">
        <w:rPr>
          <w:rStyle w:val="Lienhypertexte"/>
          <w:noProof/>
          <w:vanish/>
        </w:rPr>
        <w:t>RATE BASE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_Toc111575089 \h </w:instrText>
      </w:r>
      <w:r w:rsidR="00DE1362" w:rsidRPr="008166D7">
        <w:rPr>
          <w:noProof/>
          <w:vanish/>
          <w:webHidden/>
        </w:rPr>
      </w:r>
      <w:r w:rsidR="00DE1362" w:rsidRPr="008166D7">
        <w:rPr>
          <w:noProof/>
          <w:vanish/>
          <w:webHidden/>
        </w:rPr>
        <w:fldChar w:fldCharType="separate"/>
      </w:r>
      <w:r w:rsidR="00DE1362" w:rsidRPr="008166D7">
        <w:rPr>
          <w:noProof/>
          <w:vanish/>
          <w:webHidden/>
        </w:rPr>
        <w:t>43</w:t>
      </w:r>
      <w:r w:rsidR="00DE1362" w:rsidRPr="008166D7">
        <w:rPr>
          <w:noProof/>
          <w:vanish/>
          <w:webHidden/>
        </w:rPr>
        <w:fldChar w:fldCharType="end"/>
      </w:r>
      <w:r w:rsidRPr="008166D7">
        <w:rPr>
          <w:noProof/>
          <w:vanish/>
        </w:rPr>
        <w:fldChar w:fldCharType="end"/>
      </w:r>
    </w:p>
    <w:p w14:paraId="40F1C3DF" w14:textId="344653D5"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6.6.1</w:t>
      </w:r>
      <w:r w:rsidR="00DE1362" w:rsidRPr="008166D7">
        <w:rPr>
          <w:rFonts w:eastAsiaTheme="minorEastAsia"/>
          <w:noProof/>
          <w:vanish/>
        </w:rPr>
        <w:tab/>
      </w:r>
      <w:r w:rsidR="00DE1362" w:rsidRPr="008166D7">
        <w:rPr>
          <w:rStyle w:val="Lienhypertexte"/>
          <w:noProof/>
          <w:vanish/>
        </w:rPr>
        <w:t>GROSS PLANT IN SERVICE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_Toc111575090 \h </w:instrText>
      </w:r>
      <w:r w:rsidR="00DE1362" w:rsidRPr="008166D7">
        <w:rPr>
          <w:noProof/>
          <w:vanish/>
          <w:webHidden/>
        </w:rPr>
      </w:r>
      <w:r w:rsidR="00DE1362" w:rsidRPr="008166D7">
        <w:rPr>
          <w:noProof/>
          <w:vanish/>
          <w:webHidden/>
        </w:rPr>
        <w:fldChar w:fldCharType="separate"/>
      </w:r>
      <w:r w:rsidR="00DE1362" w:rsidRPr="008166D7">
        <w:rPr>
          <w:noProof/>
          <w:vanish/>
          <w:webHidden/>
        </w:rPr>
        <w:t>43</w:t>
      </w:r>
      <w:r w:rsidR="00DE1362" w:rsidRPr="008166D7">
        <w:rPr>
          <w:noProof/>
          <w:vanish/>
          <w:webHidden/>
        </w:rPr>
        <w:fldChar w:fldCharType="end"/>
      </w:r>
      <w:r w:rsidRPr="008166D7">
        <w:rPr>
          <w:noProof/>
          <w:vanish/>
        </w:rPr>
        <w:fldChar w:fldCharType="end"/>
      </w:r>
    </w:p>
    <w:p w14:paraId="15F41A48" w14:textId="571AAAC1"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6.6.2</w:t>
      </w:r>
      <w:r w:rsidR="00DE1362" w:rsidRPr="008166D7">
        <w:rPr>
          <w:rFonts w:eastAsiaTheme="minorEastAsia"/>
          <w:noProof/>
          <w:vanish/>
        </w:rPr>
        <w:tab/>
      </w:r>
      <w:r w:rsidR="00DE1362" w:rsidRPr="008166D7">
        <w:rPr>
          <w:rStyle w:val="Lienhypertexte"/>
          <w:noProof/>
          <w:vanish/>
        </w:rPr>
        <w:t>ACCUMULATED AMORTIZATION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_Toc111575091 \h </w:instrText>
      </w:r>
      <w:r w:rsidR="00DE1362" w:rsidRPr="008166D7">
        <w:rPr>
          <w:noProof/>
          <w:vanish/>
          <w:webHidden/>
        </w:rPr>
      </w:r>
      <w:r w:rsidR="00DE1362" w:rsidRPr="008166D7">
        <w:rPr>
          <w:noProof/>
          <w:vanish/>
          <w:webHidden/>
        </w:rPr>
        <w:fldChar w:fldCharType="separate"/>
      </w:r>
      <w:r w:rsidR="00DE1362" w:rsidRPr="008166D7">
        <w:rPr>
          <w:noProof/>
          <w:vanish/>
          <w:webHidden/>
        </w:rPr>
        <w:t>44</w:t>
      </w:r>
      <w:r w:rsidR="00DE1362" w:rsidRPr="008166D7">
        <w:rPr>
          <w:noProof/>
          <w:vanish/>
          <w:webHidden/>
        </w:rPr>
        <w:fldChar w:fldCharType="end"/>
      </w:r>
      <w:r w:rsidRPr="008166D7">
        <w:rPr>
          <w:noProof/>
          <w:vanish/>
        </w:rPr>
        <w:fldChar w:fldCharType="end"/>
      </w:r>
    </w:p>
    <w:p w14:paraId="50A0EE95" w14:textId="57AA6DAC"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6.6.3</w:t>
      </w:r>
      <w:r w:rsidR="00DE1362" w:rsidRPr="008166D7">
        <w:rPr>
          <w:rFonts w:eastAsiaTheme="minorEastAsia"/>
          <w:noProof/>
          <w:vanish/>
        </w:rPr>
        <w:tab/>
      </w:r>
      <w:r w:rsidR="00DE1362" w:rsidRPr="008166D7">
        <w:rPr>
          <w:rStyle w:val="Lienhypertexte"/>
          <w:noProof/>
          <w:vanish/>
        </w:rPr>
        <w:t>WORKING CAPITAL</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_Toc111575092 \h </w:instrText>
      </w:r>
      <w:r w:rsidR="00DE1362" w:rsidRPr="008166D7">
        <w:rPr>
          <w:noProof/>
          <w:vanish/>
          <w:webHidden/>
        </w:rPr>
      </w:r>
      <w:r w:rsidR="00DE1362" w:rsidRPr="008166D7">
        <w:rPr>
          <w:noProof/>
          <w:vanish/>
          <w:webHidden/>
        </w:rPr>
        <w:fldChar w:fldCharType="separate"/>
      </w:r>
      <w:r w:rsidR="00DE1362" w:rsidRPr="008166D7">
        <w:rPr>
          <w:noProof/>
          <w:vanish/>
          <w:webHidden/>
        </w:rPr>
        <w:t>44</w:t>
      </w:r>
      <w:r w:rsidR="00DE1362" w:rsidRPr="008166D7">
        <w:rPr>
          <w:noProof/>
          <w:vanish/>
          <w:webHidden/>
        </w:rPr>
        <w:fldChar w:fldCharType="end"/>
      </w:r>
      <w:r w:rsidRPr="008166D7">
        <w:rPr>
          <w:noProof/>
          <w:vanish/>
        </w:rPr>
        <w:fldChar w:fldCharType="end"/>
      </w:r>
    </w:p>
    <w:p w14:paraId="48EDAD55" w14:textId="7A0D13C4"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6.7</w:t>
      </w:r>
      <w:r w:rsidR="00DE1362" w:rsidRPr="008166D7">
        <w:rPr>
          <w:rFonts w:eastAsiaTheme="minorEastAsia"/>
          <w:noProof/>
          <w:vanish/>
        </w:rPr>
        <w:tab/>
      </w:r>
      <w:r w:rsidR="00DE1362" w:rsidRPr="008166D7">
        <w:rPr>
          <w:rStyle w:val="Lienhypertexte"/>
          <w:noProof/>
          <w:vanish/>
        </w:rPr>
        <w:t>COST OF SERVICE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_Toc111575093 \h </w:instrText>
      </w:r>
      <w:r w:rsidR="00DE1362" w:rsidRPr="008166D7">
        <w:rPr>
          <w:noProof/>
          <w:vanish/>
          <w:webHidden/>
        </w:rPr>
      </w:r>
      <w:r w:rsidR="00DE1362" w:rsidRPr="008166D7">
        <w:rPr>
          <w:noProof/>
          <w:vanish/>
          <w:webHidden/>
        </w:rPr>
        <w:fldChar w:fldCharType="separate"/>
      </w:r>
      <w:r w:rsidR="00DE1362" w:rsidRPr="008166D7">
        <w:rPr>
          <w:noProof/>
          <w:vanish/>
          <w:webHidden/>
        </w:rPr>
        <w:t>45</w:t>
      </w:r>
      <w:r w:rsidR="00DE1362" w:rsidRPr="008166D7">
        <w:rPr>
          <w:noProof/>
          <w:vanish/>
          <w:webHidden/>
        </w:rPr>
        <w:fldChar w:fldCharType="end"/>
      </w:r>
      <w:r w:rsidRPr="008166D7">
        <w:rPr>
          <w:noProof/>
          <w:vanish/>
        </w:rPr>
        <w:fldChar w:fldCharType="end"/>
      </w:r>
    </w:p>
    <w:p w14:paraId="611F8299" w14:textId="00BE627E"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6.7.1</w:t>
      </w:r>
      <w:r w:rsidR="00DE1362" w:rsidRPr="008166D7">
        <w:rPr>
          <w:rFonts w:eastAsiaTheme="minorEastAsia"/>
          <w:noProof/>
          <w:vanish/>
        </w:rPr>
        <w:tab/>
      </w:r>
      <w:r w:rsidR="00DE1362" w:rsidRPr="008166D7">
        <w:rPr>
          <w:rStyle w:val="Lienhypertexte"/>
          <w:noProof/>
          <w:vanish/>
        </w:rPr>
        <w:t>STUDY METHODS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_Toc111575094 \h </w:instrText>
      </w:r>
      <w:r w:rsidR="00DE1362" w:rsidRPr="008166D7">
        <w:rPr>
          <w:noProof/>
          <w:vanish/>
          <w:webHidden/>
        </w:rPr>
      </w:r>
      <w:r w:rsidR="00DE1362" w:rsidRPr="008166D7">
        <w:rPr>
          <w:noProof/>
          <w:vanish/>
          <w:webHidden/>
        </w:rPr>
        <w:fldChar w:fldCharType="separate"/>
      </w:r>
      <w:r w:rsidR="00DE1362" w:rsidRPr="008166D7">
        <w:rPr>
          <w:noProof/>
          <w:vanish/>
          <w:webHidden/>
        </w:rPr>
        <w:t>45</w:t>
      </w:r>
      <w:r w:rsidR="00DE1362" w:rsidRPr="008166D7">
        <w:rPr>
          <w:noProof/>
          <w:vanish/>
          <w:webHidden/>
        </w:rPr>
        <w:fldChar w:fldCharType="end"/>
      </w:r>
      <w:r w:rsidRPr="008166D7">
        <w:rPr>
          <w:noProof/>
          <w:vanish/>
        </w:rPr>
        <w:fldChar w:fldCharType="end"/>
      </w:r>
    </w:p>
    <w:p w14:paraId="10E216EE" w14:textId="2981A44B"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6.7.2</w:t>
      </w:r>
      <w:r w:rsidR="00DE1362" w:rsidRPr="008166D7">
        <w:rPr>
          <w:rFonts w:eastAsiaTheme="minorEastAsia"/>
          <w:noProof/>
          <w:vanish/>
        </w:rPr>
        <w:tab/>
      </w:r>
      <w:r w:rsidR="00DE1362" w:rsidRPr="008166D7">
        <w:rPr>
          <w:rStyle w:val="Lienhypertexte"/>
          <w:noProof/>
          <w:vanish/>
        </w:rPr>
        <w:t>RESULTS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_Toc111575095 \h </w:instrText>
      </w:r>
      <w:r w:rsidR="00DE1362" w:rsidRPr="008166D7">
        <w:rPr>
          <w:noProof/>
          <w:vanish/>
          <w:webHidden/>
        </w:rPr>
      </w:r>
      <w:r w:rsidR="00DE1362" w:rsidRPr="008166D7">
        <w:rPr>
          <w:noProof/>
          <w:vanish/>
          <w:webHidden/>
        </w:rPr>
        <w:fldChar w:fldCharType="separate"/>
      </w:r>
      <w:r w:rsidR="00DE1362" w:rsidRPr="008166D7">
        <w:rPr>
          <w:noProof/>
          <w:vanish/>
          <w:webHidden/>
        </w:rPr>
        <w:t>46</w:t>
      </w:r>
      <w:r w:rsidR="00DE1362" w:rsidRPr="008166D7">
        <w:rPr>
          <w:noProof/>
          <w:vanish/>
          <w:webHidden/>
        </w:rPr>
        <w:fldChar w:fldCharType="end"/>
      </w:r>
      <w:r w:rsidRPr="008166D7">
        <w:rPr>
          <w:noProof/>
          <w:vanish/>
        </w:rPr>
        <w:fldChar w:fldCharType="end"/>
      </w:r>
    </w:p>
    <w:p w14:paraId="4C9658CA" w14:textId="6E41D160"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6.8</w:t>
      </w:r>
      <w:r w:rsidR="00DE1362" w:rsidRPr="008166D7">
        <w:rPr>
          <w:rFonts w:eastAsiaTheme="minorEastAsia"/>
          <w:noProof/>
          <w:vanish/>
        </w:rPr>
        <w:tab/>
      </w:r>
      <w:r w:rsidR="00DE1362" w:rsidRPr="00563FA3">
        <w:rPr>
          <w:rStyle w:val="Lienhypertexte"/>
          <w:noProof/>
          <w:vanish/>
          <w:lang w:val="fr-FR" w:eastAsia="en-CA" w:bidi="en-CA"/>
        </w:rPr>
        <w:t>RATE DESIGN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_Toc111575096 \h </w:instrText>
      </w:r>
      <w:r w:rsidR="00DE1362" w:rsidRPr="008166D7">
        <w:rPr>
          <w:noProof/>
          <w:vanish/>
          <w:webHidden/>
        </w:rPr>
      </w:r>
      <w:r w:rsidR="00DE1362" w:rsidRPr="008166D7">
        <w:rPr>
          <w:noProof/>
          <w:vanish/>
          <w:webHidden/>
        </w:rPr>
        <w:fldChar w:fldCharType="separate"/>
      </w:r>
      <w:r w:rsidR="00DE1362" w:rsidRPr="008166D7">
        <w:rPr>
          <w:noProof/>
          <w:vanish/>
          <w:webHidden/>
        </w:rPr>
        <w:t>47</w:t>
      </w:r>
      <w:r w:rsidR="00DE1362" w:rsidRPr="008166D7">
        <w:rPr>
          <w:noProof/>
          <w:vanish/>
          <w:webHidden/>
        </w:rPr>
        <w:fldChar w:fldCharType="end"/>
      </w:r>
      <w:r w:rsidRPr="008166D7">
        <w:rPr>
          <w:noProof/>
          <w:vanish/>
        </w:rPr>
        <w:fldChar w:fldCharType="end"/>
      </w:r>
    </w:p>
    <w:p w14:paraId="3ED91D4B" w14:textId="3C5B3204"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6.8.1</w:t>
      </w:r>
      <w:r w:rsidR="00DE1362" w:rsidRPr="008166D7">
        <w:rPr>
          <w:rFonts w:eastAsiaTheme="minorEastAsia"/>
          <w:noProof/>
          <w:vanish/>
        </w:rPr>
        <w:tab/>
      </w:r>
      <w:r w:rsidR="00DE1362" w:rsidRPr="008166D7">
        <w:rPr>
          <w:rStyle w:val="Lienhypertexte"/>
          <w:noProof/>
          <w:vanish/>
        </w:rPr>
        <w:t>TRANSITION TO NUNAVUT-WIDE RATES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_Toc111575097 \h </w:instrText>
      </w:r>
      <w:r w:rsidR="00DE1362" w:rsidRPr="008166D7">
        <w:rPr>
          <w:noProof/>
          <w:vanish/>
          <w:webHidden/>
        </w:rPr>
      </w:r>
      <w:r w:rsidR="00DE1362" w:rsidRPr="008166D7">
        <w:rPr>
          <w:noProof/>
          <w:vanish/>
          <w:webHidden/>
        </w:rPr>
        <w:fldChar w:fldCharType="separate"/>
      </w:r>
      <w:r w:rsidR="00DE1362" w:rsidRPr="008166D7">
        <w:rPr>
          <w:noProof/>
          <w:vanish/>
          <w:webHidden/>
        </w:rPr>
        <w:t>48</w:t>
      </w:r>
      <w:r w:rsidR="00DE1362" w:rsidRPr="008166D7">
        <w:rPr>
          <w:noProof/>
          <w:vanish/>
          <w:webHidden/>
        </w:rPr>
        <w:fldChar w:fldCharType="end"/>
      </w:r>
      <w:r w:rsidRPr="008166D7">
        <w:rPr>
          <w:noProof/>
          <w:vanish/>
        </w:rPr>
        <w:fldChar w:fldCharType="end"/>
      </w:r>
    </w:p>
    <w:p w14:paraId="2A458CE8" w14:textId="6FE50631"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6.8.2</w:t>
      </w:r>
      <w:r w:rsidR="00DE1362" w:rsidRPr="008166D7">
        <w:rPr>
          <w:rFonts w:eastAsiaTheme="minorEastAsia"/>
          <w:noProof/>
          <w:vanish/>
        </w:rPr>
        <w:tab/>
      </w:r>
      <w:r w:rsidR="00DE1362" w:rsidRPr="008166D7">
        <w:rPr>
          <w:rStyle w:val="Lienhypertexte"/>
          <w:noProof/>
          <w:vanish/>
        </w:rPr>
        <w:t>CUSTOMER AND DEMAND CHARGES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_Toc111575098 \h </w:instrText>
      </w:r>
      <w:r w:rsidR="00DE1362" w:rsidRPr="008166D7">
        <w:rPr>
          <w:noProof/>
          <w:vanish/>
          <w:webHidden/>
        </w:rPr>
      </w:r>
      <w:r w:rsidR="00DE1362" w:rsidRPr="008166D7">
        <w:rPr>
          <w:noProof/>
          <w:vanish/>
          <w:webHidden/>
        </w:rPr>
        <w:fldChar w:fldCharType="separate"/>
      </w:r>
      <w:r w:rsidR="00DE1362" w:rsidRPr="008166D7">
        <w:rPr>
          <w:noProof/>
          <w:vanish/>
          <w:webHidden/>
        </w:rPr>
        <w:t>50</w:t>
      </w:r>
      <w:r w:rsidR="00DE1362" w:rsidRPr="008166D7">
        <w:rPr>
          <w:noProof/>
          <w:vanish/>
          <w:webHidden/>
        </w:rPr>
        <w:fldChar w:fldCharType="end"/>
      </w:r>
      <w:r w:rsidRPr="008166D7">
        <w:rPr>
          <w:noProof/>
          <w:vanish/>
        </w:rPr>
        <w:fldChar w:fldCharType="end"/>
      </w:r>
    </w:p>
    <w:p w14:paraId="493B5EC5" w14:textId="5CBA2124"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6.8.3</w:t>
      </w:r>
      <w:r w:rsidR="00DE1362" w:rsidRPr="008166D7">
        <w:rPr>
          <w:rFonts w:eastAsiaTheme="minorEastAsia"/>
          <w:noProof/>
          <w:vanish/>
        </w:rPr>
        <w:tab/>
      </w:r>
      <w:r w:rsidR="00DE1362" w:rsidRPr="008166D7">
        <w:rPr>
          <w:rStyle w:val="Lienhypertexte"/>
          <w:noProof/>
          <w:vanish/>
        </w:rPr>
        <w:t>CITY OF IQALUIT – GOVERNMENT RATE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_Toc111575099 \h </w:instrText>
      </w:r>
      <w:r w:rsidR="00DE1362" w:rsidRPr="008166D7">
        <w:rPr>
          <w:noProof/>
          <w:vanish/>
          <w:webHidden/>
        </w:rPr>
      </w:r>
      <w:r w:rsidR="00DE1362" w:rsidRPr="008166D7">
        <w:rPr>
          <w:noProof/>
          <w:vanish/>
          <w:webHidden/>
        </w:rPr>
        <w:fldChar w:fldCharType="separate"/>
      </w:r>
      <w:r w:rsidR="00DE1362" w:rsidRPr="008166D7">
        <w:rPr>
          <w:noProof/>
          <w:vanish/>
          <w:webHidden/>
        </w:rPr>
        <w:t>52</w:t>
      </w:r>
      <w:r w:rsidR="00DE1362" w:rsidRPr="008166D7">
        <w:rPr>
          <w:noProof/>
          <w:vanish/>
          <w:webHidden/>
        </w:rPr>
        <w:fldChar w:fldCharType="end"/>
      </w:r>
      <w:r w:rsidRPr="008166D7">
        <w:rPr>
          <w:noProof/>
          <w:vanish/>
        </w:rPr>
        <w:fldChar w:fldCharType="end"/>
      </w:r>
    </w:p>
    <w:p w14:paraId="05AF9824" w14:textId="015E187F"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6.9</w:t>
      </w:r>
      <w:r w:rsidR="00DE1362" w:rsidRPr="008166D7">
        <w:rPr>
          <w:rFonts w:eastAsiaTheme="minorEastAsia"/>
          <w:noProof/>
          <w:vanish/>
        </w:rPr>
        <w:tab/>
      </w:r>
      <w:r w:rsidR="00DE1362" w:rsidRPr="008166D7">
        <w:rPr>
          <w:rStyle w:val="Lienhypertexte"/>
          <w:noProof/>
          <w:vanish/>
        </w:rPr>
        <w:t>OTHER MATTERS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_Toc111575100 \h </w:instrText>
      </w:r>
      <w:r w:rsidR="00DE1362" w:rsidRPr="008166D7">
        <w:rPr>
          <w:noProof/>
          <w:vanish/>
          <w:webHidden/>
        </w:rPr>
      </w:r>
      <w:r w:rsidR="00DE1362" w:rsidRPr="008166D7">
        <w:rPr>
          <w:noProof/>
          <w:vanish/>
          <w:webHidden/>
        </w:rPr>
        <w:fldChar w:fldCharType="separate"/>
      </w:r>
      <w:r w:rsidR="00DE1362" w:rsidRPr="008166D7">
        <w:rPr>
          <w:noProof/>
          <w:vanish/>
          <w:webHidden/>
        </w:rPr>
        <w:t>55</w:t>
      </w:r>
      <w:r w:rsidR="00DE1362" w:rsidRPr="008166D7">
        <w:rPr>
          <w:noProof/>
          <w:vanish/>
          <w:webHidden/>
        </w:rPr>
        <w:fldChar w:fldCharType="end"/>
      </w:r>
      <w:r w:rsidRPr="008166D7">
        <w:rPr>
          <w:noProof/>
          <w:vanish/>
        </w:rPr>
        <w:fldChar w:fldCharType="end"/>
      </w:r>
    </w:p>
    <w:p w14:paraId="3C6C581F" w14:textId="379C5FD2"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6.9.1</w:t>
      </w:r>
      <w:r w:rsidR="00DE1362" w:rsidRPr="008166D7">
        <w:rPr>
          <w:rFonts w:eastAsiaTheme="minorEastAsia"/>
          <w:noProof/>
          <w:vanish/>
        </w:rPr>
        <w:tab/>
      </w:r>
      <w:r w:rsidR="00DE1362" w:rsidRPr="008166D7">
        <w:rPr>
          <w:rStyle w:val="Lienhypertexte"/>
          <w:noProof/>
          <w:vanish/>
        </w:rPr>
        <w:t>NUNAVUT ENERGY SUBSIDY PROGRAM</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_Toc111575101 \h </w:instrText>
      </w:r>
      <w:r w:rsidR="00DE1362" w:rsidRPr="008166D7">
        <w:rPr>
          <w:noProof/>
          <w:vanish/>
          <w:webHidden/>
        </w:rPr>
      </w:r>
      <w:r w:rsidR="00DE1362" w:rsidRPr="008166D7">
        <w:rPr>
          <w:noProof/>
          <w:vanish/>
          <w:webHidden/>
        </w:rPr>
        <w:fldChar w:fldCharType="separate"/>
      </w:r>
      <w:r w:rsidR="00DE1362" w:rsidRPr="008166D7">
        <w:rPr>
          <w:noProof/>
          <w:vanish/>
          <w:webHidden/>
        </w:rPr>
        <w:t>55</w:t>
      </w:r>
      <w:r w:rsidR="00DE1362" w:rsidRPr="008166D7">
        <w:rPr>
          <w:noProof/>
          <w:vanish/>
          <w:webHidden/>
        </w:rPr>
        <w:fldChar w:fldCharType="end"/>
      </w:r>
      <w:r w:rsidRPr="008166D7">
        <w:rPr>
          <w:noProof/>
          <w:vanish/>
        </w:rPr>
        <w:fldChar w:fldCharType="end"/>
      </w:r>
    </w:p>
    <w:p w14:paraId="237D7C33" w14:textId="340D648A"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6.9.2</w:t>
      </w:r>
      <w:r w:rsidR="00DE1362" w:rsidRPr="008166D7">
        <w:rPr>
          <w:rFonts w:eastAsiaTheme="minorEastAsia"/>
          <w:noProof/>
          <w:vanish/>
        </w:rPr>
        <w:tab/>
      </w:r>
      <w:r w:rsidR="00DE1362" w:rsidRPr="008166D7">
        <w:rPr>
          <w:rStyle w:val="Lienhypertexte"/>
          <w:noProof/>
          <w:vanish/>
        </w:rPr>
        <w:t>BILLING, CREDIT AND PAYMENT ISSUES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_Toc111575102 \h </w:instrText>
      </w:r>
      <w:r w:rsidR="00DE1362" w:rsidRPr="008166D7">
        <w:rPr>
          <w:noProof/>
          <w:vanish/>
          <w:webHidden/>
        </w:rPr>
      </w:r>
      <w:r w:rsidR="00DE1362" w:rsidRPr="008166D7">
        <w:rPr>
          <w:noProof/>
          <w:vanish/>
          <w:webHidden/>
        </w:rPr>
        <w:fldChar w:fldCharType="separate"/>
      </w:r>
      <w:r w:rsidR="00DE1362" w:rsidRPr="008166D7">
        <w:rPr>
          <w:noProof/>
          <w:vanish/>
          <w:webHidden/>
        </w:rPr>
        <w:t>56</w:t>
      </w:r>
      <w:r w:rsidR="00DE1362" w:rsidRPr="008166D7">
        <w:rPr>
          <w:noProof/>
          <w:vanish/>
          <w:webHidden/>
        </w:rPr>
        <w:fldChar w:fldCharType="end"/>
      </w:r>
      <w:r w:rsidRPr="008166D7">
        <w:rPr>
          <w:noProof/>
          <w:vanish/>
        </w:rPr>
        <w:fldChar w:fldCharType="end"/>
      </w:r>
    </w:p>
    <w:p w14:paraId="20126953" w14:textId="34064CA4"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563FA3">
        <w:rPr>
          <w:rStyle w:val="Lienhypertexte"/>
          <w:noProof/>
          <w:vanish/>
          <w:lang w:val="fr-FR" w:eastAsia="en-CA" w:bidi="en-CA"/>
        </w:rPr>
        <w:t>6.9.3</w:t>
      </w:r>
      <w:r w:rsidR="00DE1362" w:rsidRPr="008166D7">
        <w:rPr>
          <w:rFonts w:eastAsiaTheme="minorEastAsia"/>
          <w:noProof/>
          <w:vanish/>
        </w:rPr>
        <w:tab/>
      </w:r>
      <w:r w:rsidR="00DE1362" w:rsidRPr="00563FA3">
        <w:rPr>
          <w:rStyle w:val="Lienhypertexte"/>
          <w:noProof/>
          <w:vanish/>
          <w:lang w:val="fr-FR" w:eastAsia="en-CA" w:bidi="en-CA"/>
        </w:rPr>
        <w:t>CIPP/IPP MATTERS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_Toc111575103 \h </w:instrText>
      </w:r>
      <w:r w:rsidR="00DE1362" w:rsidRPr="008166D7">
        <w:rPr>
          <w:noProof/>
          <w:vanish/>
          <w:webHidden/>
        </w:rPr>
      </w:r>
      <w:r w:rsidR="00DE1362" w:rsidRPr="008166D7">
        <w:rPr>
          <w:noProof/>
          <w:vanish/>
          <w:webHidden/>
        </w:rPr>
        <w:fldChar w:fldCharType="separate"/>
      </w:r>
      <w:r w:rsidR="00DE1362" w:rsidRPr="008166D7">
        <w:rPr>
          <w:noProof/>
          <w:vanish/>
          <w:webHidden/>
        </w:rPr>
        <w:t>57</w:t>
      </w:r>
      <w:r w:rsidR="00DE1362" w:rsidRPr="008166D7">
        <w:rPr>
          <w:noProof/>
          <w:vanish/>
          <w:webHidden/>
        </w:rPr>
        <w:fldChar w:fldCharType="end"/>
      </w:r>
      <w:r w:rsidRPr="008166D7">
        <w:rPr>
          <w:noProof/>
          <w:vanish/>
        </w:rPr>
        <w:fldChar w:fldCharType="end"/>
      </w:r>
    </w:p>
    <w:p w14:paraId="7D5F62D9" w14:textId="12DB76A4" w:rsidR="00DE1362" w:rsidRPr="008166D7" w:rsidRDefault="00000000">
      <w:pPr>
        <w:pStyle w:val="TM3"/>
        <w:tabs>
          <w:tab w:val="left" w:pos="1296"/>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6.9.4</w:t>
      </w:r>
      <w:r w:rsidR="00DE1362" w:rsidRPr="008166D7">
        <w:rPr>
          <w:rFonts w:eastAsiaTheme="minorEastAsia"/>
          <w:noProof/>
          <w:vanish/>
        </w:rPr>
        <w:tab/>
      </w:r>
      <w:r w:rsidR="00DE1362" w:rsidRPr="008166D7">
        <w:rPr>
          <w:rStyle w:val="Lienhypertexte"/>
          <w:noProof/>
          <w:vanish/>
        </w:rPr>
        <w:t>ANNUAL REPORTING OF FINANCES AND OPERATIONS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_Toc111575104 \h </w:instrText>
      </w:r>
      <w:r w:rsidR="00DE1362" w:rsidRPr="008166D7">
        <w:rPr>
          <w:noProof/>
          <w:vanish/>
          <w:webHidden/>
        </w:rPr>
      </w:r>
      <w:r w:rsidR="00DE1362" w:rsidRPr="008166D7">
        <w:rPr>
          <w:noProof/>
          <w:vanish/>
          <w:webHidden/>
        </w:rPr>
        <w:fldChar w:fldCharType="separate"/>
      </w:r>
      <w:r w:rsidR="00DE1362" w:rsidRPr="008166D7">
        <w:rPr>
          <w:noProof/>
          <w:vanish/>
          <w:webHidden/>
        </w:rPr>
        <w:t>57</w:t>
      </w:r>
      <w:r w:rsidR="00DE1362" w:rsidRPr="008166D7">
        <w:rPr>
          <w:noProof/>
          <w:vanish/>
          <w:webHidden/>
        </w:rPr>
        <w:fldChar w:fldCharType="end"/>
      </w:r>
      <w:r w:rsidRPr="008166D7">
        <w:rPr>
          <w:noProof/>
          <w:vanish/>
        </w:rPr>
        <w:fldChar w:fldCharType="end"/>
      </w:r>
    </w:p>
    <w:p w14:paraId="4F602CE5" w14:textId="05A676EC" w:rsidR="00DE1362" w:rsidRPr="008166D7" w:rsidRDefault="00000000">
      <w:pPr>
        <w:pStyle w:val="TM1"/>
        <w:tabs>
          <w:tab w:val="left" w:pos="1019"/>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7.0</w:t>
      </w:r>
      <w:r w:rsidR="00DE1362" w:rsidRPr="008166D7">
        <w:rPr>
          <w:rFonts w:eastAsiaTheme="minorEastAsia"/>
          <w:noProof/>
          <w:vanish/>
        </w:rPr>
        <w:tab/>
      </w:r>
      <w:r w:rsidR="00DE1362" w:rsidRPr="008166D7">
        <w:rPr>
          <w:rStyle w:val="Lienhypertexte"/>
          <w:noProof/>
          <w:vanish/>
        </w:rPr>
        <w:t>URRC</w:t>
      </w:r>
      <w:r w:rsidR="00DE1362" w:rsidRPr="008166D7">
        <w:rPr>
          <w:rStyle w:val="Lienhypertexte"/>
          <w:noProof/>
          <w:vanish/>
          <w:spacing w:val="-8"/>
        </w:rPr>
        <w:t xml:space="preserve"> </w:t>
      </w:r>
      <w:r w:rsidR="00DE1362" w:rsidRPr="008166D7">
        <w:rPr>
          <w:rStyle w:val="Lienhypertexte"/>
          <w:noProof/>
          <w:vanish/>
        </w:rPr>
        <w:t>RECOMMENDATIONS</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_Toc111575105 \h </w:instrText>
      </w:r>
      <w:r w:rsidR="00DE1362" w:rsidRPr="008166D7">
        <w:rPr>
          <w:noProof/>
          <w:vanish/>
          <w:webHidden/>
        </w:rPr>
      </w:r>
      <w:r w:rsidR="00DE1362" w:rsidRPr="008166D7">
        <w:rPr>
          <w:noProof/>
          <w:vanish/>
          <w:webHidden/>
        </w:rPr>
        <w:fldChar w:fldCharType="separate"/>
      </w:r>
      <w:r w:rsidR="00DE1362" w:rsidRPr="008166D7">
        <w:rPr>
          <w:noProof/>
          <w:vanish/>
          <w:webHidden/>
        </w:rPr>
        <w:t>58</w:t>
      </w:r>
      <w:r w:rsidR="00DE1362" w:rsidRPr="008166D7">
        <w:rPr>
          <w:noProof/>
          <w:vanish/>
          <w:webHidden/>
        </w:rPr>
        <w:fldChar w:fldCharType="end"/>
      </w:r>
      <w:r w:rsidRPr="008166D7">
        <w:rPr>
          <w:noProof/>
          <w:vanish/>
        </w:rPr>
        <w:fldChar w:fldCharType="end"/>
      </w:r>
    </w:p>
    <w:p w14:paraId="37A73604" w14:textId="7BCDBD41"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A – CITY OF IQALUIT SUBMISSION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_Toc111575106 \h </w:instrText>
      </w:r>
      <w:r w:rsidR="00DE1362" w:rsidRPr="008166D7">
        <w:rPr>
          <w:noProof/>
          <w:vanish/>
          <w:webHidden/>
        </w:rPr>
      </w:r>
      <w:r w:rsidR="00DE1362" w:rsidRPr="008166D7">
        <w:rPr>
          <w:noProof/>
          <w:vanish/>
          <w:webHidden/>
        </w:rPr>
        <w:fldChar w:fldCharType="separate"/>
      </w:r>
      <w:r w:rsidR="00DE1362" w:rsidRPr="008166D7">
        <w:rPr>
          <w:noProof/>
          <w:vanish/>
          <w:webHidden/>
        </w:rPr>
        <w:t>62</w:t>
      </w:r>
      <w:r w:rsidR="00DE1362" w:rsidRPr="008166D7">
        <w:rPr>
          <w:noProof/>
          <w:vanish/>
          <w:webHidden/>
        </w:rPr>
        <w:fldChar w:fldCharType="end"/>
      </w:r>
      <w:r w:rsidRPr="008166D7">
        <w:rPr>
          <w:noProof/>
          <w:vanish/>
        </w:rPr>
        <w:fldChar w:fldCharType="end"/>
      </w:r>
    </w:p>
    <w:p w14:paraId="24D015B7" w14:textId="285ED6E5"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B – QEC RESPONSE TO THE CITY OF IQALUIT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_Toc111575107 \h </w:instrText>
      </w:r>
      <w:r w:rsidR="00DE1362" w:rsidRPr="008166D7">
        <w:rPr>
          <w:noProof/>
          <w:vanish/>
          <w:webHidden/>
        </w:rPr>
      </w:r>
      <w:r w:rsidR="00DE1362" w:rsidRPr="008166D7">
        <w:rPr>
          <w:noProof/>
          <w:vanish/>
          <w:webHidden/>
        </w:rPr>
        <w:fldChar w:fldCharType="separate"/>
      </w:r>
      <w:r w:rsidR="00DE1362" w:rsidRPr="008166D7">
        <w:rPr>
          <w:noProof/>
          <w:vanish/>
          <w:webHidden/>
        </w:rPr>
        <w:t>65</w:t>
      </w:r>
      <w:r w:rsidR="00DE1362" w:rsidRPr="008166D7">
        <w:rPr>
          <w:noProof/>
          <w:vanish/>
          <w:webHidden/>
        </w:rPr>
        <w:fldChar w:fldCharType="end"/>
      </w:r>
      <w:r w:rsidRPr="008166D7">
        <w:rPr>
          <w:noProof/>
          <w:vanish/>
        </w:rPr>
        <w:fldChar w:fldCharType="end"/>
      </w:r>
    </w:p>
    <w:p w14:paraId="5DDDD449" w14:textId="1C7CBCC6"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C – HAMLET OF KINNGAIT SUBMISSION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_Toc111575108 \h </w:instrText>
      </w:r>
      <w:r w:rsidR="00DE1362" w:rsidRPr="008166D7">
        <w:rPr>
          <w:noProof/>
          <w:vanish/>
          <w:webHidden/>
        </w:rPr>
      </w:r>
      <w:r w:rsidR="00DE1362" w:rsidRPr="008166D7">
        <w:rPr>
          <w:noProof/>
          <w:vanish/>
          <w:webHidden/>
        </w:rPr>
        <w:fldChar w:fldCharType="separate"/>
      </w:r>
      <w:r w:rsidR="00DE1362" w:rsidRPr="008166D7">
        <w:rPr>
          <w:noProof/>
          <w:vanish/>
          <w:webHidden/>
        </w:rPr>
        <w:t>68</w:t>
      </w:r>
      <w:r w:rsidR="00DE1362" w:rsidRPr="008166D7">
        <w:rPr>
          <w:noProof/>
          <w:vanish/>
          <w:webHidden/>
        </w:rPr>
        <w:fldChar w:fldCharType="end"/>
      </w:r>
      <w:r w:rsidRPr="008166D7">
        <w:rPr>
          <w:noProof/>
          <w:vanish/>
        </w:rPr>
        <w:fldChar w:fldCharType="end"/>
      </w:r>
    </w:p>
    <w:p w14:paraId="2225E750" w14:textId="4F7095B4"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D – MINISTER/QEC RESPONSE TO HAMLET OF KINNGAIT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_Toc111575109 \h </w:instrText>
      </w:r>
      <w:r w:rsidR="00DE1362" w:rsidRPr="008166D7">
        <w:rPr>
          <w:noProof/>
          <w:vanish/>
          <w:webHidden/>
        </w:rPr>
      </w:r>
      <w:r w:rsidR="00DE1362" w:rsidRPr="008166D7">
        <w:rPr>
          <w:noProof/>
          <w:vanish/>
          <w:webHidden/>
        </w:rPr>
        <w:fldChar w:fldCharType="separate"/>
      </w:r>
      <w:r w:rsidR="00DE1362" w:rsidRPr="008166D7">
        <w:rPr>
          <w:noProof/>
          <w:vanish/>
          <w:webHidden/>
        </w:rPr>
        <w:t>69</w:t>
      </w:r>
      <w:r w:rsidR="00DE1362" w:rsidRPr="008166D7">
        <w:rPr>
          <w:noProof/>
          <w:vanish/>
          <w:webHidden/>
        </w:rPr>
        <w:fldChar w:fldCharType="end"/>
      </w:r>
      <w:r w:rsidRPr="008166D7">
        <w:rPr>
          <w:noProof/>
          <w:vanish/>
        </w:rPr>
        <w:fldChar w:fldCharType="end"/>
      </w:r>
    </w:p>
    <w:p w14:paraId="2327A608" w14:textId="3F27D5D0"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E – HAMLET OF RANKIN INLET SUBMISSION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_Toc111575110 \h </w:instrText>
      </w:r>
      <w:r w:rsidR="00DE1362" w:rsidRPr="008166D7">
        <w:rPr>
          <w:noProof/>
          <w:vanish/>
          <w:webHidden/>
        </w:rPr>
      </w:r>
      <w:r w:rsidR="00DE1362" w:rsidRPr="008166D7">
        <w:rPr>
          <w:noProof/>
          <w:vanish/>
          <w:webHidden/>
        </w:rPr>
        <w:fldChar w:fldCharType="separate"/>
      </w:r>
      <w:r w:rsidR="00DE1362" w:rsidRPr="008166D7">
        <w:rPr>
          <w:noProof/>
          <w:vanish/>
          <w:webHidden/>
        </w:rPr>
        <w:t>71</w:t>
      </w:r>
      <w:r w:rsidR="00DE1362" w:rsidRPr="008166D7">
        <w:rPr>
          <w:noProof/>
          <w:vanish/>
          <w:webHidden/>
        </w:rPr>
        <w:fldChar w:fldCharType="end"/>
      </w:r>
      <w:r w:rsidRPr="008166D7">
        <w:rPr>
          <w:noProof/>
          <w:vanish/>
        </w:rPr>
        <w:fldChar w:fldCharType="end"/>
      </w:r>
    </w:p>
    <w:p w14:paraId="43193CB3" w14:textId="74A762FB"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F – QEC RESPONSE TO HAMLET OF RANKIN INLET</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_Toc111575111 \h </w:instrText>
      </w:r>
      <w:r w:rsidR="00DE1362" w:rsidRPr="008166D7">
        <w:rPr>
          <w:noProof/>
          <w:vanish/>
          <w:webHidden/>
        </w:rPr>
      </w:r>
      <w:r w:rsidR="00DE1362" w:rsidRPr="008166D7">
        <w:rPr>
          <w:noProof/>
          <w:vanish/>
          <w:webHidden/>
        </w:rPr>
        <w:fldChar w:fldCharType="separate"/>
      </w:r>
      <w:r w:rsidR="00DE1362" w:rsidRPr="008166D7">
        <w:rPr>
          <w:noProof/>
          <w:vanish/>
          <w:webHidden/>
        </w:rPr>
        <w:t>72</w:t>
      </w:r>
      <w:r w:rsidR="00DE1362" w:rsidRPr="008166D7">
        <w:rPr>
          <w:noProof/>
          <w:vanish/>
          <w:webHidden/>
        </w:rPr>
        <w:fldChar w:fldCharType="end"/>
      </w:r>
      <w:r w:rsidRPr="008166D7">
        <w:rPr>
          <w:noProof/>
          <w:vanish/>
        </w:rPr>
        <w:fldChar w:fldCharType="end"/>
      </w:r>
    </w:p>
    <w:p w14:paraId="3A3A76EB" w14:textId="613214EB"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G – IQALUIT CHAMBER OF COMMERCE SUBMISSION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_Toc111575112 \h </w:instrText>
      </w:r>
      <w:r w:rsidR="00DE1362" w:rsidRPr="008166D7">
        <w:rPr>
          <w:noProof/>
          <w:vanish/>
          <w:webHidden/>
        </w:rPr>
      </w:r>
      <w:r w:rsidR="00DE1362" w:rsidRPr="008166D7">
        <w:rPr>
          <w:noProof/>
          <w:vanish/>
          <w:webHidden/>
        </w:rPr>
        <w:fldChar w:fldCharType="separate"/>
      </w:r>
      <w:r w:rsidR="00DE1362" w:rsidRPr="008166D7">
        <w:rPr>
          <w:noProof/>
          <w:vanish/>
          <w:webHidden/>
        </w:rPr>
        <w:t>75</w:t>
      </w:r>
      <w:r w:rsidR="00DE1362" w:rsidRPr="008166D7">
        <w:rPr>
          <w:noProof/>
          <w:vanish/>
          <w:webHidden/>
        </w:rPr>
        <w:fldChar w:fldCharType="end"/>
      </w:r>
      <w:r w:rsidRPr="008166D7">
        <w:rPr>
          <w:noProof/>
          <w:vanish/>
        </w:rPr>
        <w:fldChar w:fldCharType="end"/>
      </w:r>
    </w:p>
    <w:p w14:paraId="6FF0F1AE" w14:textId="1F3A66AB"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H – MINISTER RESPONSE TO IQALUIT CHAMBER OF COMMERCE</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_Toc111575113 \h </w:instrText>
      </w:r>
      <w:r w:rsidR="00DE1362" w:rsidRPr="008166D7">
        <w:rPr>
          <w:noProof/>
          <w:vanish/>
          <w:webHidden/>
        </w:rPr>
      </w:r>
      <w:r w:rsidR="00DE1362" w:rsidRPr="008166D7">
        <w:rPr>
          <w:noProof/>
          <w:vanish/>
          <w:webHidden/>
        </w:rPr>
        <w:fldChar w:fldCharType="separate"/>
      </w:r>
      <w:r w:rsidR="00DE1362" w:rsidRPr="008166D7">
        <w:rPr>
          <w:noProof/>
          <w:vanish/>
          <w:webHidden/>
        </w:rPr>
        <w:t>76</w:t>
      </w:r>
      <w:r w:rsidR="00DE1362" w:rsidRPr="008166D7">
        <w:rPr>
          <w:noProof/>
          <w:vanish/>
          <w:webHidden/>
        </w:rPr>
        <w:fldChar w:fldCharType="end"/>
      </w:r>
      <w:r w:rsidRPr="008166D7">
        <w:rPr>
          <w:noProof/>
          <w:vanish/>
        </w:rPr>
        <w:fldChar w:fldCharType="end"/>
      </w:r>
    </w:p>
    <w:p w14:paraId="09749806" w14:textId="037F3F53"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I – NUNAVUT NUKKIKSAUTIIT CORPORATION SUBMISSION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_Toc111575114 \h </w:instrText>
      </w:r>
      <w:r w:rsidR="00DE1362" w:rsidRPr="008166D7">
        <w:rPr>
          <w:noProof/>
          <w:vanish/>
          <w:webHidden/>
        </w:rPr>
      </w:r>
      <w:r w:rsidR="00DE1362" w:rsidRPr="008166D7">
        <w:rPr>
          <w:noProof/>
          <w:vanish/>
          <w:webHidden/>
        </w:rPr>
        <w:fldChar w:fldCharType="separate"/>
      </w:r>
      <w:r w:rsidR="00DE1362" w:rsidRPr="008166D7">
        <w:rPr>
          <w:noProof/>
          <w:vanish/>
          <w:webHidden/>
        </w:rPr>
        <w:t>78</w:t>
      </w:r>
      <w:r w:rsidR="00DE1362" w:rsidRPr="008166D7">
        <w:rPr>
          <w:noProof/>
          <w:vanish/>
          <w:webHidden/>
        </w:rPr>
        <w:fldChar w:fldCharType="end"/>
      </w:r>
      <w:r w:rsidRPr="008166D7">
        <w:rPr>
          <w:noProof/>
          <w:vanish/>
        </w:rPr>
        <w:fldChar w:fldCharType="end"/>
      </w:r>
    </w:p>
    <w:p w14:paraId="58F8E2BD" w14:textId="45558841"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J – QEC RESPONSE TO NUNAVUT NUKKIKSAUTIIT CORPORATION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_Toc111575115 \h </w:instrText>
      </w:r>
      <w:r w:rsidR="00DE1362" w:rsidRPr="008166D7">
        <w:rPr>
          <w:noProof/>
          <w:vanish/>
          <w:webHidden/>
        </w:rPr>
      </w:r>
      <w:r w:rsidR="00DE1362" w:rsidRPr="008166D7">
        <w:rPr>
          <w:noProof/>
          <w:vanish/>
          <w:webHidden/>
        </w:rPr>
        <w:fldChar w:fldCharType="separate"/>
      </w:r>
      <w:r w:rsidR="00DE1362" w:rsidRPr="008166D7">
        <w:rPr>
          <w:noProof/>
          <w:vanish/>
          <w:webHidden/>
        </w:rPr>
        <w:t>81</w:t>
      </w:r>
      <w:r w:rsidR="00DE1362" w:rsidRPr="008166D7">
        <w:rPr>
          <w:noProof/>
          <w:vanish/>
          <w:webHidden/>
        </w:rPr>
        <w:fldChar w:fldCharType="end"/>
      </w:r>
      <w:r w:rsidRPr="008166D7">
        <w:rPr>
          <w:noProof/>
          <w:vanish/>
        </w:rPr>
        <w:fldChar w:fldCharType="end"/>
      </w:r>
    </w:p>
    <w:p w14:paraId="5F1F4E37" w14:textId="090506BC" w:rsidR="00DE1362" w:rsidRPr="008166D7" w:rsidRDefault="00000000">
      <w:pPr>
        <w:pStyle w:val="TM2"/>
        <w:tabs>
          <w:tab w:val="right" w:leader="dot" w:pos="9350"/>
        </w:tabs>
        <w:rPr>
          <w:rFonts w:eastAsiaTheme="minorEastAsia"/>
          <w:noProof/>
          <w:vanish/>
        </w:rPr>
      </w:pPr>
      <w:r w:rsidRPr="008166D7">
        <w:rPr>
          <w:vanish/>
        </w:rPr>
        <w:fldChar w:fldCharType="begin"/>
      </w:r>
      <w:r w:rsidRPr="008166D7">
        <w:rPr>
          <w:vanish/>
        </w:rPr>
        <w:instrText>HYPERLINK</w:instrText>
      </w:r>
      <w:r w:rsidRPr="008166D7">
        <w:rPr>
          <w:vanish/>
        </w:rPr>
      </w:r>
      <w:r w:rsidRPr="008166D7">
        <w:rPr>
          <w:vanish/>
        </w:rPr>
        <w:fldChar w:fldCharType="separate"/>
      </w:r>
      <w:r w:rsidR="00DE1362" w:rsidRPr="008166D7">
        <w:rPr>
          <w:rStyle w:val="Lienhypertexte"/>
          <w:noProof/>
          <w:vanish/>
        </w:rPr>
        <w:t>APPENDIX K – JULY 6 RESPONSE FROM NUNAVUT NUKKIKSAUTIIT CORPORATION</w:t>
      </w:r>
      <w:r w:rsidR="00DE1362" w:rsidRPr="008166D7">
        <w:rPr>
          <w:noProof/>
          <w:vanish/>
          <w:webHidden/>
        </w:rPr>
        <w:tab/>
      </w:r>
      <w:r w:rsidR="00DE1362" w:rsidRPr="008166D7">
        <w:rPr>
          <w:noProof/>
          <w:vanish/>
          <w:webHidden/>
        </w:rPr>
        <w:fldChar w:fldCharType="begin"/>
      </w:r>
      <w:r w:rsidR="00DE1362" w:rsidRPr="008166D7">
        <w:rPr>
          <w:noProof/>
          <w:vanish/>
          <w:webHidden/>
        </w:rPr>
        <w:instrText xml:space="preserve"> PAGEREF _Toc111575116 \h </w:instrText>
      </w:r>
      <w:r w:rsidR="00DE1362" w:rsidRPr="008166D7">
        <w:rPr>
          <w:noProof/>
          <w:vanish/>
          <w:webHidden/>
        </w:rPr>
      </w:r>
      <w:r w:rsidR="00DE1362" w:rsidRPr="008166D7">
        <w:rPr>
          <w:noProof/>
          <w:vanish/>
          <w:webHidden/>
        </w:rPr>
        <w:fldChar w:fldCharType="separate"/>
      </w:r>
      <w:r w:rsidR="00DE1362" w:rsidRPr="008166D7">
        <w:rPr>
          <w:noProof/>
          <w:vanish/>
          <w:webHidden/>
        </w:rPr>
        <w:t>84</w:t>
      </w:r>
      <w:r w:rsidR="00DE1362" w:rsidRPr="008166D7">
        <w:rPr>
          <w:noProof/>
          <w:vanish/>
          <w:webHidden/>
        </w:rPr>
        <w:fldChar w:fldCharType="end"/>
      </w:r>
      <w:r w:rsidRPr="008166D7">
        <w:rPr>
          <w:noProof/>
          <w:vanish/>
        </w:rPr>
        <w:fldChar w:fldCharType="end"/>
      </w:r>
    </w:p>
    <w:p w14:paraId="7262C83C" w14:textId="4F0880DA" w:rsidR="009164D9" w:rsidRPr="008166D7" w:rsidRDefault="00813998" w:rsidP="0026075C">
      <w:pPr>
        <w:pStyle w:val="TM1"/>
        <w:tabs>
          <w:tab w:val="left" w:pos="799"/>
          <w:tab w:val="right" w:leader="dot" w:pos="9489"/>
        </w:tabs>
        <w:spacing w:before="393"/>
      </w:pPr>
      <w:r w:rsidRPr="008166D7">
        <w:rPr>
          <w:b/>
          <w:vanish/>
          <w:sz w:val="24"/>
        </w:rPr>
        <w:fldChar w:fldCharType="end"/>
      </w:r>
    </w:p>
    <w:p w14:paraId="7262C83D" w14:textId="77777777" w:rsidR="009164D9" w:rsidRPr="008166D7" w:rsidRDefault="009164D9">
      <w:pPr>
        <w:sectPr w:rsidR="009164D9" w:rsidRPr="008166D7" w:rsidSect="00BB5CA6">
          <w:headerReference w:type="default" r:id="rId20"/>
          <w:pgSz w:w="12240" w:h="15840"/>
          <w:pgMar w:top="1440" w:right="1440" w:bottom="720" w:left="1440" w:header="1526" w:footer="720" w:gutter="0"/>
          <w:cols w:space="720"/>
          <w:docGrid w:linePitch="299"/>
        </w:sectPr>
      </w:pPr>
    </w:p>
    <w:p w14:paraId="7262C83E" w14:textId="77777777" w:rsidR="00261044" w:rsidRPr="008166D7" w:rsidRDefault="00813998" w:rsidP="00CC1520">
      <w:pPr>
        <w:pStyle w:val="Heading1URRC"/>
        <w:rPr>
          <w:rFonts w:ascii="Times New Roman" w:hAnsi="Times New Roman"/>
          <w:vanish/>
        </w:rPr>
      </w:pPr>
      <w:bookmarkStart w:id="6" w:name="1.0_BACKGROUND"/>
      <w:bookmarkStart w:id="7" w:name="_bookmark0"/>
      <w:bookmarkEnd w:id="6"/>
      <w:bookmarkEnd w:id="7"/>
      <w:r w:rsidRPr="008166D7">
        <w:rPr>
          <w:rFonts w:ascii="Times New Roman" w:hAnsi="Times New Roman"/>
          <w:vanish/>
        </w:rPr>
        <w:lastRenderedPageBreak/>
        <w:t>BACKGROUND</w:t>
      </w:r>
    </w:p>
    <w:p w14:paraId="7262C83F" w14:textId="53B884C6" w:rsidR="009164D9" w:rsidRPr="00563FA3" w:rsidRDefault="00813998" w:rsidP="00E3198B">
      <w:pPr>
        <w:pStyle w:val="Corpsdetexte"/>
        <w:ind w:hanging="533"/>
        <w:jc w:val="left"/>
        <w:rPr>
          <w:vanish/>
          <w:lang w:val="fr-FR"/>
        </w:rPr>
      </w:pPr>
      <w:r w:rsidRPr="00563FA3">
        <w:rPr>
          <w:vanish/>
          <w:lang w:val="fr-FR"/>
        </w:rPr>
        <w:t xml:space="preserve">Qulliq Energy Corporation (QEC), as a designated utility, is required pursuant to </w:t>
      </w:r>
      <w:r w:rsidRPr="00563FA3">
        <w:rPr>
          <w:vanish/>
          <w:lang w:val="fr-FR" w:eastAsia="en-CA" w:bidi="en-CA"/>
        </w:rPr>
        <w:t>Section </w:t>
      </w:r>
      <w:r w:rsidR="00D20071" w:rsidRPr="00563FA3">
        <w:rPr>
          <w:vanish/>
          <w:lang w:val="fr-FR"/>
        </w:rPr>
        <w:t xml:space="preserve">12 of the </w:t>
      </w:r>
      <w:r w:rsidR="005316CF" w:rsidRPr="00563FA3">
        <w:rPr>
          <w:i/>
          <w:iCs/>
          <w:vanish/>
          <w:lang w:val="fr-FR"/>
        </w:rPr>
        <w:t xml:space="preserve">Utilities Rates Review Council Act </w:t>
      </w:r>
      <w:r w:rsidRPr="00563FA3">
        <w:rPr>
          <w:vanish/>
          <w:lang w:val="fr-FR"/>
        </w:rPr>
        <w:t>(URRC Act), to seek approval from the responsible Minister prior to imposing a rate or tariff. In this regard, Section 12 of the URRC Act provides for the application for approval of a rate or tariff as follows:</w:t>
      </w:r>
    </w:p>
    <w:p w14:paraId="7262C840" w14:textId="77777777" w:rsidR="009164D9" w:rsidRPr="00563FA3" w:rsidRDefault="00813998" w:rsidP="00895858">
      <w:pPr>
        <w:pStyle w:val="Paragraphedeliste"/>
        <w:numPr>
          <w:ilvl w:val="2"/>
          <w:numId w:val="2"/>
        </w:numPr>
        <w:tabs>
          <w:tab w:val="left" w:pos="1980"/>
        </w:tabs>
        <w:spacing w:line="276" w:lineRule="auto"/>
        <w:ind w:left="1440" w:right="720" w:firstLine="0"/>
        <w:jc w:val="both"/>
        <w:rPr>
          <w:vanish/>
          <w:lang w:val="fr-FR"/>
        </w:rPr>
      </w:pPr>
      <w:r w:rsidRPr="00563FA3">
        <w:rPr>
          <w:vanish/>
          <w:lang w:val="fr-FR"/>
        </w:rPr>
        <w:t>A designated utility that desires to impose a rate or tariff shall make an application in writing to the responsible Minister for approval of the rate or tariff.</w:t>
      </w:r>
    </w:p>
    <w:p w14:paraId="7262C841" w14:textId="77777777" w:rsidR="009164D9" w:rsidRPr="00563FA3" w:rsidRDefault="009164D9" w:rsidP="00A9365C">
      <w:pPr>
        <w:spacing w:line="276" w:lineRule="auto"/>
        <w:ind w:left="1440" w:right="720"/>
        <w:jc w:val="both"/>
        <w:rPr>
          <w:vanish/>
          <w:lang w:val="fr-FR"/>
        </w:rPr>
      </w:pPr>
    </w:p>
    <w:p w14:paraId="7262C842" w14:textId="77777777" w:rsidR="009164D9" w:rsidRPr="00563FA3" w:rsidRDefault="00813998" w:rsidP="0019486C">
      <w:pPr>
        <w:tabs>
          <w:tab w:val="left" w:pos="1980"/>
        </w:tabs>
        <w:spacing w:line="276" w:lineRule="auto"/>
        <w:ind w:left="1440" w:right="720"/>
        <w:jc w:val="both"/>
        <w:rPr>
          <w:vanish/>
          <w:lang w:val="fr-FR"/>
        </w:rPr>
      </w:pPr>
      <w:r w:rsidRPr="00563FA3">
        <w:rPr>
          <w:vanish/>
          <w:lang w:val="fr-FR"/>
        </w:rPr>
        <w:t>Request for advice of Review Council</w:t>
      </w:r>
    </w:p>
    <w:p w14:paraId="7262C843" w14:textId="77777777" w:rsidR="009164D9" w:rsidRPr="00563FA3" w:rsidRDefault="00813998" w:rsidP="00895858">
      <w:pPr>
        <w:pStyle w:val="Paragraphedeliste"/>
        <w:numPr>
          <w:ilvl w:val="2"/>
          <w:numId w:val="2"/>
        </w:numPr>
        <w:tabs>
          <w:tab w:val="left" w:pos="1980"/>
          <w:tab w:val="left" w:pos="2160"/>
        </w:tabs>
        <w:spacing w:line="276" w:lineRule="auto"/>
        <w:ind w:left="1440" w:right="720" w:firstLine="0"/>
        <w:jc w:val="both"/>
        <w:rPr>
          <w:vanish/>
          <w:lang w:val="fr-FR"/>
        </w:rPr>
      </w:pPr>
      <w:r w:rsidRPr="00563FA3">
        <w:rPr>
          <w:vanish/>
          <w:lang w:val="fr-FR"/>
        </w:rPr>
        <w:t>Within 15 days of receiving an application under subsection (1), the responsible Minister shall request the advice of the Review Council.</w:t>
      </w:r>
    </w:p>
    <w:p w14:paraId="7262C844" w14:textId="77777777" w:rsidR="0064259E" w:rsidRPr="00563FA3" w:rsidRDefault="0064259E" w:rsidP="004A43CA">
      <w:pPr>
        <w:tabs>
          <w:tab w:val="left" w:pos="1980"/>
        </w:tabs>
        <w:spacing w:line="276" w:lineRule="auto"/>
        <w:ind w:left="1440" w:right="720"/>
        <w:jc w:val="both"/>
        <w:rPr>
          <w:vanish/>
          <w:lang w:val="fr-FR"/>
        </w:rPr>
      </w:pPr>
    </w:p>
    <w:p w14:paraId="7262C845" w14:textId="77777777" w:rsidR="009164D9" w:rsidRPr="008166D7" w:rsidRDefault="00813998" w:rsidP="004A43CA">
      <w:pPr>
        <w:tabs>
          <w:tab w:val="left" w:pos="1980"/>
        </w:tabs>
        <w:spacing w:line="276" w:lineRule="auto"/>
        <w:ind w:left="1440" w:right="720"/>
        <w:jc w:val="both"/>
        <w:rPr>
          <w:vanish/>
        </w:rPr>
      </w:pPr>
      <w:r w:rsidRPr="008166D7">
        <w:rPr>
          <w:vanish/>
        </w:rPr>
        <w:t>Notice to elected officials</w:t>
      </w:r>
    </w:p>
    <w:p w14:paraId="7262C846" w14:textId="77777777" w:rsidR="009164D9" w:rsidRPr="00563FA3" w:rsidRDefault="00813998" w:rsidP="00851552">
      <w:pPr>
        <w:pStyle w:val="Paragraphedeliste"/>
        <w:numPr>
          <w:ilvl w:val="2"/>
          <w:numId w:val="2"/>
        </w:numPr>
        <w:tabs>
          <w:tab w:val="left" w:pos="1980"/>
        </w:tabs>
        <w:spacing w:line="276" w:lineRule="auto"/>
        <w:ind w:left="1440" w:right="720" w:firstLine="0"/>
        <w:jc w:val="both"/>
        <w:rPr>
          <w:vanish/>
          <w:lang w:val="fr-FR"/>
        </w:rPr>
      </w:pPr>
      <w:r w:rsidRPr="00563FA3">
        <w:rPr>
          <w:vanish/>
          <w:lang w:val="fr-FR"/>
        </w:rPr>
        <w:t>The responsible Minister shall give reasonable notice of a request for advice under subsection (2) to mayors and members of the Legislative Assembly who represent a municipality or constituency where the residents, in his or her opinion, are likely to be affected by the rate or tariff.</w:t>
      </w:r>
    </w:p>
    <w:p w14:paraId="7262C847" w14:textId="77777777" w:rsidR="006B77BF" w:rsidRPr="00563FA3" w:rsidRDefault="006B77BF" w:rsidP="006B77BF">
      <w:pPr>
        <w:pStyle w:val="Paragraphedeliste"/>
        <w:tabs>
          <w:tab w:val="left" w:pos="1995"/>
        </w:tabs>
        <w:ind w:left="1440" w:right="-10" w:firstLine="0"/>
        <w:jc w:val="left"/>
        <w:rPr>
          <w:vanish/>
          <w:sz w:val="24"/>
          <w:lang w:val="fr-FR"/>
        </w:rPr>
      </w:pPr>
    </w:p>
    <w:p w14:paraId="7262C848" w14:textId="3227D8A5" w:rsidR="009164D9" w:rsidRPr="00563FA3" w:rsidRDefault="00813998" w:rsidP="001A4F3B">
      <w:pPr>
        <w:pStyle w:val="Corpsdetexte"/>
        <w:ind w:hanging="530"/>
        <w:rPr>
          <w:vanish/>
          <w:lang w:val="fr-FR"/>
        </w:rPr>
      </w:pPr>
      <w:r w:rsidRPr="00563FA3">
        <w:rPr>
          <w:vanish/>
          <w:lang w:val="fr-FR" w:eastAsia="en-CA" w:bidi="en-CA"/>
        </w:rPr>
        <w:t>Section</w:t>
      </w:r>
      <w:r w:rsidRPr="00563FA3">
        <w:rPr>
          <w:vanish/>
          <w:lang w:val="fr-FR"/>
        </w:rPr>
        <w:t xml:space="preserve"> 7(e) of the URRC Act states, among others, the purposes of the Utility Rates Review Council of Nunavut (URRC) are to advise the responsible Minister of a designated utility concerning the imposition of rates and tariffs in accordance with sections 11 to 18 (of the URRC Act).</w:t>
      </w:r>
    </w:p>
    <w:p w14:paraId="7262C849" w14:textId="207463C8" w:rsidR="00F141D5" w:rsidRPr="00563FA3" w:rsidRDefault="00813998" w:rsidP="001A4F3B">
      <w:pPr>
        <w:pStyle w:val="Corpsdetexte"/>
        <w:ind w:hanging="530"/>
        <w:rPr>
          <w:vanish/>
          <w:lang w:val="fr-FR"/>
        </w:rPr>
      </w:pPr>
      <w:r w:rsidRPr="00563FA3">
        <w:rPr>
          <w:vanish/>
          <w:lang w:val="fr-FR"/>
        </w:rPr>
        <w:t>Section 13(2) of the URRC Act states, among others, the URRC shall have regard to whether the proposed rate or tariff is fair and reasonable, considering:</w:t>
      </w:r>
    </w:p>
    <w:p w14:paraId="7262C84C" w14:textId="6396D9F8" w:rsidR="009164D9" w:rsidRPr="00563FA3" w:rsidRDefault="00813998" w:rsidP="00941823">
      <w:pPr>
        <w:pStyle w:val="Corpsdetexte"/>
        <w:numPr>
          <w:ilvl w:val="1"/>
          <w:numId w:val="7"/>
        </w:numPr>
        <w:ind w:left="1440"/>
        <w:rPr>
          <w:vanish/>
          <w:lang w:val="fr-FR"/>
        </w:rPr>
        <w:sectPr w:rsidR="009164D9" w:rsidRPr="00563FA3" w:rsidSect="009B7EC8">
          <w:headerReference w:type="default" r:id="rId21"/>
          <w:footerReference w:type="default" r:id="rId22"/>
          <w:pgSz w:w="12240" w:h="15840"/>
          <w:pgMar w:top="1440" w:right="1440" w:bottom="720" w:left="1440" w:header="1526" w:footer="720" w:gutter="0"/>
          <w:cols w:space="720"/>
          <w:docGrid w:linePitch="299"/>
        </w:sectPr>
      </w:pPr>
      <w:r w:rsidRPr="00563FA3">
        <w:rPr>
          <w:vanish/>
          <w:lang w:val="fr-FR"/>
        </w:rPr>
        <w:t>The cost of providing the service, including related financing costs.</w:t>
      </w:r>
    </w:p>
    <w:p w14:paraId="7262C84D" w14:textId="68B7E503" w:rsidR="009164D9" w:rsidRPr="00563FA3" w:rsidRDefault="00813998" w:rsidP="00C67278">
      <w:pPr>
        <w:pStyle w:val="Corpsdetexte"/>
        <w:ind w:hanging="530"/>
        <w:rPr>
          <w:vanish/>
          <w:lang w:val="fr-FR"/>
        </w:rPr>
      </w:pPr>
      <w:r w:rsidRPr="00563FA3">
        <w:rPr>
          <w:vanish/>
          <w:lang w:val="fr-FR"/>
        </w:rPr>
        <w:t>By letter dated March 24, 2022, QEC applied to the Minister Responsible for QEC for approval of QEC’s forecast revenue requirement for the 2022/23 test year of $144.015 million, and the transition from the existing rates structure to a Nunavut-wide levelized rate structure. The amount to be collected from customers through the Nunavut-wide rates is forecast to be $141.504 million (i.e., revenue requirement of $144.015 less non-electricity revenues of $2.511 million). By letter dated March 24, 2022, the Minister Responsible for QEC requested advice from the URRC with respect to QEC’s application. The URRC’s consideration of these matters is set out in this report.</w:t>
      </w:r>
    </w:p>
    <w:p w14:paraId="7262C84E" w14:textId="77777777" w:rsidR="009164D9" w:rsidRPr="00563FA3" w:rsidRDefault="009164D9">
      <w:pPr>
        <w:spacing w:line="360" w:lineRule="auto"/>
        <w:jc w:val="both"/>
        <w:rPr>
          <w:vanish/>
          <w:sz w:val="24"/>
          <w:lang w:val="fr-FR"/>
        </w:rPr>
        <w:sectPr w:rsidR="009164D9" w:rsidRPr="00563FA3" w:rsidSect="009B7EC8">
          <w:pgSz w:w="12240" w:h="15840"/>
          <w:pgMar w:top="1440" w:right="1440" w:bottom="720" w:left="1440" w:header="1526" w:footer="720" w:gutter="0"/>
          <w:cols w:space="720"/>
          <w:docGrid w:linePitch="299"/>
        </w:sectPr>
      </w:pPr>
    </w:p>
    <w:p w14:paraId="7262C84F" w14:textId="77777777" w:rsidR="009164D9" w:rsidRPr="008166D7" w:rsidRDefault="00813998" w:rsidP="004658F7">
      <w:pPr>
        <w:pStyle w:val="Heading1URRC"/>
        <w:rPr>
          <w:rFonts w:ascii="Times New Roman" w:hAnsi="Times New Roman"/>
          <w:vanish/>
        </w:rPr>
      </w:pPr>
      <w:bookmarkStart w:id="8" w:name="2.0_PARTICULARS_OF_THE_APPLICATION"/>
      <w:bookmarkStart w:id="9" w:name="_bookmark1"/>
      <w:bookmarkEnd w:id="8"/>
      <w:bookmarkEnd w:id="9"/>
      <w:r w:rsidRPr="008166D7">
        <w:rPr>
          <w:rFonts w:ascii="Times New Roman" w:hAnsi="Times New Roman"/>
          <w:vanish/>
        </w:rPr>
        <w:t>PARTICULARS OF THE APPLICATION</w:t>
      </w:r>
    </w:p>
    <w:p w14:paraId="7262C850" w14:textId="1E6AF29C" w:rsidR="00B0152F" w:rsidRPr="00563FA3" w:rsidRDefault="00813998" w:rsidP="00C67278">
      <w:pPr>
        <w:pStyle w:val="Corpsdetexte"/>
        <w:ind w:hanging="530"/>
        <w:rPr>
          <w:vanish/>
          <w:lang w:val="fr-FR"/>
        </w:rPr>
      </w:pPr>
      <w:r w:rsidRPr="00563FA3">
        <w:rPr>
          <w:vanish/>
          <w:lang w:val="fr-FR"/>
        </w:rPr>
        <w:t xml:space="preserve">QEC submitted its combined Phase 1 and Phase 2 general rate application (GRA or the Application) for the 2022/23 test year and applied, pursuant to Section 12 of the URRC Act, for an instruction or instructions by the responsible Minister: </w:t>
      </w:r>
    </w:p>
    <w:p w14:paraId="7262C851" w14:textId="090BCD5A" w:rsidR="00B0152F" w:rsidRPr="00563FA3" w:rsidRDefault="00813998" w:rsidP="008E476B">
      <w:pPr>
        <w:pStyle w:val="Corpsdetexte"/>
        <w:numPr>
          <w:ilvl w:val="1"/>
          <w:numId w:val="7"/>
        </w:numPr>
        <w:ind w:left="1440"/>
        <w:rPr>
          <w:vanish/>
          <w:lang w:val="fr-FR"/>
        </w:rPr>
      </w:pPr>
      <w:r w:rsidRPr="00563FA3">
        <w:rPr>
          <w:vanish/>
          <w:lang w:val="fr-FR"/>
        </w:rPr>
        <w:t>Approving QEC’s forecast 2022/23 test year revenue requirement of $144.015 million. The amount to be collected from customers through the Nunavut-wide rates is forecast to be $141.504 million (i.e., revenue requirement of $144.015 less non-electricity revenues of $2.511 million).</w:t>
      </w:r>
    </w:p>
    <w:p w14:paraId="7262C852" w14:textId="49A8EE42" w:rsidR="00B0152F" w:rsidRPr="00563FA3" w:rsidRDefault="00813998" w:rsidP="008E476B">
      <w:pPr>
        <w:pStyle w:val="Corpsdetexte"/>
        <w:numPr>
          <w:ilvl w:val="1"/>
          <w:numId w:val="7"/>
        </w:numPr>
        <w:ind w:left="1440"/>
        <w:rPr>
          <w:vanish/>
          <w:lang w:val="fr-FR"/>
        </w:rPr>
      </w:pPr>
      <w:r w:rsidRPr="00563FA3">
        <w:rPr>
          <w:vanish/>
          <w:lang w:val="fr-FR"/>
        </w:rPr>
        <w:t>Approving QEC’s proposed rates effective October 1, 2022, as set out in schedules 8.1 and 8.2.</w:t>
      </w:r>
    </w:p>
    <w:p w14:paraId="7262C853" w14:textId="77777777" w:rsidR="00B0152F" w:rsidRPr="00563FA3" w:rsidRDefault="00813998" w:rsidP="008E476B">
      <w:pPr>
        <w:pStyle w:val="Corpsdetexte"/>
        <w:numPr>
          <w:ilvl w:val="1"/>
          <w:numId w:val="7"/>
        </w:numPr>
        <w:ind w:left="1440"/>
        <w:rPr>
          <w:vanish/>
          <w:lang w:val="fr-FR"/>
        </w:rPr>
      </w:pPr>
      <w:r w:rsidRPr="00563FA3">
        <w:rPr>
          <w:vanish/>
          <w:lang w:val="fr-FR"/>
        </w:rPr>
        <w:t>For any other instructions within the responsible Minister’s authority as QEC may request and the responsible Minister determines proper.</w:t>
      </w:r>
    </w:p>
    <w:p w14:paraId="7262C854" w14:textId="1E3A1EC5" w:rsidR="00ED3D08" w:rsidRPr="00563FA3" w:rsidRDefault="00813998" w:rsidP="00C67278">
      <w:pPr>
        <w:pStyle w:val="Corpsdetexte"/>
        <w:ind w:hanging="530"/>
        <w:rPr>
          <w:vanish/>
          <w:lang w:val="fr-FR"/>
        </w:rPr>
      </w:pPr>
      <w:r w:rsidRPr="00563FA3">
        <w:rPr>
          <w:vanish/>
          <w:lang w:val="fr-FR"/>
        </w:rPr>
        <w:t>QEC provided an overview, background and a summary of its history in the Application. QEC noted that it is the only generator, transmitter and distributor of electrical energy for retail supply in Nunavut’s 25 communities. QEC noted that demand in those communities ranged from approximately 200 kilowatts (kW) at Grise Fiord to 10 megawatts at Iqaluit.</w:t>
      </w:r>
    </w:p>
    <w:p w14:paraId="7262C855" w14:textId="23C7B6A2" w:rsidR="00B4614F" w:rsidRPr="00563FA3" w:rsidRDefault="00813998" w:rsidP="00C67278">
      <w:pPr>
        <w:pStyle w:val="Corpsdetexte"/>
        <w:ind w:hanging="530"/>
        <w:rPr>
          <w:vanish/>
          <w:lang w:val="fr-FR"/>
        </w:rPr>
      </w:pPr>
      <w:r w:rsidRPr="00563FA3">
        <w:rPr>
          <w:vanish/>
          <w:lang w:val="fr-FR"/>
        </w:rPr>
        <w:t>QEC noted that it has approximately 15,500 customers, serving a population of about 39,000 people located in an area of approximately 2.1 million square kilometres. QEC also noted the challenges posed by low customer densities, the unique and harsh environment it operates in and that it is the only energy corporation in Canada without significant local energy resources or regional electricity transmission capability. QEC further noted that it has a substantial dependency on fossil fuels.</w:t>
      </w:r>
    </w:p>
    <w:p w14:paraId="7262C857" w14:textId="77777777" w:rsidR="000F31C0" w:rsidRPr="008166D7" w:rsidRDefault="00813998" w:rsidP="001C74C9">
      <w:pPr>
        <w:pStyle w:val="Heading2URRC"/>
        <w:rPr>
          <w:rFonts w:ascii="Times New Roman" w:hAnsi="Times New Roman"/>
          <w:vanish/>
        </w:rPr>
      </w:pPr>
      <w:r w:rsidRPr="008166D7">
        <w:rPr>
          <w:rFonts w:ascii="Times New Roman" w:hAnsi="Times New Roman"/>
          <w:vanish/>
        </w:rPr>
        <w:t>REVENUE REQUIREMENT</w:t>
      </w:r>
    </w:p>
    <w:p w14:paraId="7262C858" w14:textId="150208C9" w:rsidR="007A57A6" w:rsidRPr="00563FA3" w:rsidRDefault="00813998" w:rsidP="003F029B">
      <w:pPr>
        <w:pStyle w:val="Corpsdetexte"/>
        <w:keepNext/>
        <w:keepLines/>
        <w:ind w:hanging="530"/>
        <w:rPr>
          <w:vanish/>
          <w:lang w:val="fr-FR"/>
        </w:rPr>
      </w:pPr>
      <w:r w:rsidRPr="00563FA3">
        <w:rPr>
          <w:vanish/>
          <w:lang w:val="fr-FR"/>
        </w:rPr>
        <w:t>As noted above, QEC requested approval, from the responsible Minister, of a forecast revenue requirement for the 2022/23 test year of $144.015 million, which would result in a shortfall of $6.6 million based on revenue at existing rates, as reflected in Table 5.1 from the Application:</w:t>
      </w:r>
    </w:p>
    <w:p w14:paraId="7262C859" w14:textId="01F7659D" w:rsidR="007330D6" w:rsidRPr="00563FA3" w:rsidRDefault="00813998" w:rsidP="00C01FED">
      <w:pPr>
        <w:keepNext/>
        <w:keepLines/>
        <w:widowControl/>
        <w:spacing w:after="120"/>
        <w:jc w:val="center"/>
        <w:rPr>
          <w:b/>
          <w:vanish/>
          <w:sz w:val="24"/>
          <w:szCs w:val="24"/>
          <w:lang w:val="fr-FR"/>
        </w:rPr>
      </w:pPr>
      <w:r w:rsidRPr="00563FA3">
        <w:rPr>
          <w:b/>
          <w:vanish/>
          <w:sz w:val="24"/>
          <w:szCs w:val="24"/>
          <w:lang w:val="fr-FR"/>
        </w:rPr>
        <w:t>Table</w:t>
      </w:r>
      <w:r w:rsidR="00296C2D" w:rsidRPr="00563FA3">
        <w:rPr>
          <w:b/>
          <w:vanish/>
          <w:sz w:val="24"/>
          <w:szCs w:val="24"/>
          <w:lang w:val="fr-FR"/>
        </w:rPr>
        <w:t> </w:t>
      </w:r>
      <w:r w:rsidRPr="00563FA3">
        <w:rPr>
          <w:b/>
          <w:vanish/>
          <w:sz w:val="24"/>
          <w:szCs w:val="24"/>
          <w:lang w:val="fr-FR"/>
        </w:rPr>
        <w:t>5.1</w:t>
      </w:r>
      <w:r w:rsidRPr="00563FA3">
        <w:rPr>
          <w:b/>
          <w:vanish/>
          <w:sz w:val="24"/>
          <w:szCs w:val="24"/>
          <w:lang w:val="fr-FR"/>
        </w:rPr>
        <w:br/>
        <w:t>Variance from Revenues at Existing Rates 2022/23 ($000s)</w:t>
      </w:r>
    </w:p>
    <w:p w14:paraId="7262C85A" w14:textId="77777777" w:rsidR="007330D6" w:rsidRPr="008166D7" w:rsidRDefault="00813998" w:rsidP="00E10E82">
      <w:pPr>
        <w:pStyle w:val="Corpsdetexte"/>
        <w:numPr>
          <w:ilvl w:val="0"/>
          <w:numId w:val="0"/>
        </w:numPr>
        <w:spacing w:after="360"/>
        <w:ind w:left="1800" w:hanging="360"/>
        <w:rPr>
          <w:vanish/>
        </w:rPr>
      </w:pPr>
      <w:r w:rsidRPr="008166D7">
        <w:rPr>
          <w:b/>
          <w:noProof/>
          <w:vanish/>
        </w:rPr>
        <w:drawing>
          <wp:inline distT="0" distB="0" distL="0" distR="0" wp14:anchorId="6AFB4634" wp14:editId="44C1350C">
            <wp:extent cx="4268838" cy="3538331"/>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77572"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77810" cy="3545767"/>
                    </a:xfrm>
                    <a:prstGeom prst="rect">
                      <a:avLst/>
                    </a:prstGeom>
                    <a:noFill/>
                    <a:ln>
                      <a:noFill/>
                    </a:ln>
                  </pic:spPr>
                </pic:pic>
              </a:graphicData>
            </a:graphic>
          </wp:inline>
        </w:drawing>
      </w:r>
    </w:p>
    <w:p w14:paraId="7262C85B" w14:textId="69F384F8" w:rsidR="007A57A6" w:rsidRPr="00563FA3" w:rsidRDefault="00813998" w:rsidP="003F029B">
      <w:pPr>
        <w:pStyle w:val="Corpsdetexte"/>
        <w:keepNext/>
        <w:keepLines/>
        <w:spacing w:after="240"/>
        <w:ind w:hanging="533"/>
        <w:rPr>
          <w:vanish/>
          <w:lang w:val="fr-FR"/>
        </w:rPr>
      </w:pPr>
      <w:r w:rsidRPr="00563FA3">
        <w:rPr>
          <w:vanish/>
          <w:lang w:val="fr-FR"/>
        </w:rPr>
        <w:t>The forecast revenue requirement of $144.015 million is about $11.1 million higher than that requested in the 2018/19 GRA primarily due to increases in non-fuel operation and maintenance (O&amp;M) expenses ($4.5 million), production fuel ($2.7 million), and fixed asset amortization ($3.0 million). The increase in costs is partially offset by higher revenues at existing rates ($4.6 million), primarily due to load growth. The shortfall of $6.6 million results from these forecast changes since the 2018/19 GRA as reflected in Table 5.2 from the Application:</w:t>
      </w:r>
    </w:p>
    <w:p w14:paraId="7262C85C" w14:textId="64334C92" w:rsidR="007330D6" w:rsidRPr="00563FA3" w:rsidRDefault="00813998" w:rsidP="00712A08">
      <w:pPr>
        <w:keepNext/>
        <w:keepLines/>
        <w:widowControl/>
        <w:jc w:val="center"/>
        <w:rPr>
          <w:b/>
          <w:vanish/>
          <w:sz w:val="24"/>
          <w:szCs w:val="24"/>
          <w:lang w:val="fr-FR"/>
        </w:rPr>
      </w:pPr>
      <w:r w:rsidRPr="00563FA3">
        <w:rPr>
          <w:b/>
          <w:vanish/>
          <w:sz w:val="24"/>
          <w:szCs w:val="24"/>
          <w:lang w:val="fr-FR"/>
        </w:rPr>
        <w:t>Table</w:t>
      </w:r>
      <w:r w:rsidR="00296C2D" w:rsidRPr="00563FA3">
        <w:rPr>
          <w:b/>
          <w:vanish/>
          <w:sz w:val="24"/>
          <w:szCs w:val="24"/>
          <w:lang w:val="fr-FR"/>
        </w:rPr>
        <w:t> </w:t>
      </w:r>
      <w:r w:rsidRPr="00563FA3">
        <w:rPr>
          <w:b/>
          <w:vanish/>
          <w:sz w:val="24"/>
          <w:szCs w:val="24"/>
          <w:lang w:val="fr-FR"/>
        </w:rPr>
        <w:t>5.2</w:t>
      </w:r>
    </w:p>
    <w:p w14:paraId="7262C85D" w14:textId="77777777" w:rsidR="007330D6" w:rsidRPr="00563FA3" w:rsidRDefault="00813998" w:rsidP="00712A08">
      <w:pPr>
        <w:keepNext/>
        <w:keepLines/>
        <w:widowControl/>
        <w:jc w:val="center"/>
        <w:rPr>
          <w:b/>
          <w:vanish/>
          <w:sz w:val="24"/>
          <w:szCs w:val="24"/>
          <w:lang w:val="fr-FR"/>
        </w:rPr>
      </w:pPr>
      <w:r w:rsidRPr="00563FA3">
        <w:rPr>
          <w:b/>
          <w:vanish/>
          <w:sz w:val="24"/>
          <w:szCs w:val="24"/>
          <w:lang w:val="fr-FR"/>
        </w:rPr>
        <w:t>Variance from Revenues at Existing Rates</w:t>
      </w:r>
    </w:p>
    <w:p w14:paraId="7262C85E" w14:textId="77777777" w:rsidR="007A57A6" w:rsidRPr="00563FA3" w:rsidRDefault="00813998" w:rsidP="00710384">
      <w:pPr>
        <w:keepNext/>
        <w:keepLines/>
        <w:widowControl/>
        <w:spacing w:after="240"/>
        <w:jc w:val="center"/>
        <w:rPr>
          <w:b/>
          <w:vanish/>
          <w:sz w:val="24"/>
          <w:szCs w:val="24"/>
          <w:lang w:val="fr-FR"/>
        </w:rPr>
      </w:pPr>
      <w:r w:rsidRPr="00563FA3">
        <w:rPr>
          <w:b/>
          <w:vanish/>
          <w:sz w:val="24"/>
          <w:szCs w:val="24"/>
          <w:lang w:val="fr-FR"/>
        </w:rPr>
        <w:t>2018/19 GRA Forecast Compared to 2022/23 ($000s)</w:t>
      </w:r>
    </w:p>
    <w:p w14:paraId="7262C860" w14:textId="77777777" w:rsidR="007330D6" w:rsidRPr="008166D7" w:rsidRDefault="00813998" w:rsidP="00710384">
      <w:pPr>
        <w:pStyle w:val="Corpsdetexte"/>
        <w:numPr>
          <w:ilvl w:val="0"/>
          <w:numId w:val="0"/>
        </w:numPr>
        <w:spacing w:after="240"/>
        <w:ind w:left="360" w:hanging="270"/>
        <w:rPr>
          <w:vanish/>
        </w:rPr>
      </w:pPr>
      <w:r w:rsidRPr="008166D7">
        <w:rPr>
          <w:noProof/>
          <w:vanish/>
        </w:rPr>
        <w:drawing>
          <wp:inline distT="0" distB="0" distL="0" distR="0" wp14:anchorId="431CE673" wp14:editId="46C1A27E">
            <wp:extent cx="5885421" cy="3403158"/>
            <wp:effectExtent l="0" t="0" r="127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80999"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941936" cy="3435837"/>
                    </a:xfrm>
                    <a:prstGeom prst="rect">
                      <a:avLst/>
                    </a:prstGeom>
                    <a:noFill/>
                    <a:ln>
                      <a:noFill/>
                    </a:ln>
                  </pic:spPr>
                </pic:pic>
              </a:graphicData>
            </a:graphic>
          </wp:inline>
        </w:drawing>
      </w:r>
    </w:p>
    <w:p w14:paraId="7262C861" w14:textId="43168C5A" w:rsidR="008E59CD" w:rsidRPr="00563FA3" w:rsidRDefault="00813998" w:rsidP="001C74C9">
      <w:pPr>
        <w:pStyle w:val="Corpsdetexte"/>
        <w:keepNext/>
        <w:keepLines/>
        <w:ind w:right="-86" w:hanging="533"/>
        <w:rPr>
          <w:vanish/>
          <w:lang w:val="fr-FR"/>
        </w:rPr>
      </w:pPr>
      <w:r w:rsidRPr="00563FA3">
        <w:rPr>
          <w:vanish/>
          <w:lang w:val="fr-FR"/>
        </w:rPr>
        <w:t>For continuity, QEC also provided the actual/forecast revenue requirement for each year from 2018/19 to 2020/21, and the GRA forecast as Schedule 4.1 from the Application:</w:t>
      </w:r>
    </w:p>
    <w:p w14:paraId="7262C862" w14:textId="0C0F200B" w:rsidR="008E59CD" w:rsidRPr="00563FA3" w:rsidRDefault="00813998" w:rsidP="00947D7C">
      <w:pPr>
        <w:keepNext/>
        <w:keepLines/>
        <w:widowControl/>
        <w:jc w:val="center"/>
        <w:rPr>
          <w:b/>
          <w:vanish/>
          <w:sz w:val="24"/>
          <w:szCs w:val="24"/>
          <w:lang w:val="fr-FR"/>
        </w:rPr>
      </w:pPr>
      <w:r w:rsidRPr="00563FA3">
        <w:rPr>
          <w:b/>
          <w:vanish/>
          <w:sz w:val="24"/>
          <w:szCs w:val="24"/>
          <w:lang w:val="fr-FR"/>
        </w:rPr>
        <w:t>Schedule 4.1</w:t>
      </w:r>
    </w:p>
    <w:p w14:paraId="7262C863" w14:textId="77777777" w:rsidR="008E59CD" w:rsidRPr="00563FA3" w:rsidRDefault="00813998" w:rsidP="00947D7C">
      <w:pPr>
        <w:keepNext/>
        <w:keepLines/>
        <w:widowControl/>
        <w:jc w:val="center"/>
        <w:rPr>
          <w:b/>
          <w:vanish/>
          <w:sz w:val="24"/>
          <w:szCs w:val="24"/>
          <w:lang w:val="fr-FR"/>
        </w:rPr>
      </w:pPr>
      <w:r w:rsidRPr="00563FA3">
        <w:rPr>
          <w:b/>
          <w:vanish/>
          <w:sz w:val="24"/>
          <w:szCs w:val="24"/>
          <w:lang w:val="fr-FR"/>
        </w:rPr>
        <w:t>Qulliq Energy Corporation 2022/23 General Rate Application</w:t>
      </w:r>
    </w:p>
    <w:p w14:paraId="7262C864" w14:textId="77777777" w:rsidR="008E59CD" w:rsidRPr="008166D7" w:rsidRDefault="00813998" w:rsidP="00710384">
      <w:pPr>
        <w:keepNext/>
        <w:keepLines/>
        <w:widowControl/>
        <w:spacing w:after="240"/>
        <w:jc w:val="center"/>
        <w:rPr>
          <w:b/>
          <w:vanish/>
          <w:sz w:val="24"/>
          <w:szCs w:val="24"/>
        </w:rPr>
      </w:pPr>
      <w:r w:rsidRPr="008166D7">
        <w:rPr>
          <w:b/>
          <w:vanish/>
          <w:sz w:val="24"/>
          <w:szCs w:val="24"/>
        </w:rPr>
        <w:t>Revenue Requirement ($000)</w:t>
      </w:r>
    </w:p>
    <w:p w14:paraId="7262C866" w14:textId="77777777" w:rsidR="00A61D1E" w:rsidRPr="008166D7" w:rsidRDefault="00813998" w:rsidP="00710384">
      <w:pPr>
        <w:pStyle w:val="Corpsdetexte"/>
        <w:numPr>
          <w:ilvl w:val="0"/>
          <w:numId w:val="0"/>
        </w:numPr>
        <w:spacing w:after="0" w:line="240" w:lineRule="auto"/>
        <w:ind w:left="1066" w:hanging="1426"/>
        <w:jc w:val="center"/>
        <w:rPr>
          <w:vanish/>
        </w:rPr>
      </w:pPr>
      <w:r w:rsidRPr="008166D7">
        <w:rPr>
          <w:noProof/>
          <w:vanish/>
        </w:rPr>
        <w:drawing>
          <wp:inline distT="0" distB="0" distL="0" distR="0" wp14:anchorId="0D839803" wp14:editId="0C6B7592">
            <wp:extent cx="6520619" cy="3021496"/>
            <wp:effectExtent l="0" t="0" r="0" b="7620"/>
            <wp:docPr id="1833421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0686"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593396" cy="3055219"/>
                    </a:xfrm>
                    <a:prstGeom prst="rect">
                      <a:avLst/>
                    </a:prstGeom>
                    <a:noFill/>
                    <a:ln>
                      <a:noFill/>
                    </a:ln>
                  </pic:spPr>
                </pic:pic>
              </a:graphicData>
            </a:graphic>
          </wp:inline>
        </w:drawing>
      </w:r>
    </w:p>
    <w:p w14:paraId="7262C868" w14:textId="65B6F50D" w:rsidR="00C757AD" w:rsidRPr="00563FA3" w:rsidRDefault="00813998" w:rsidP="001C74C9">
      <w:pPr>
        <w:pStyle w:val="Corpsdetexte"/>
        <w:spacing w:before="360"/>
        <w:ind w:hanging="533"/>
        <w:rPr>
          <w:vanish/>
          <w:lang w:val="fr-FR"/>
        </w:rPr>
      </w:pPr>
      <w:r w:rsidRPr="00563FA3">
        <w:rPr>
          <w:vanish/>
          <w:lang w:val="fr-FR"/>
        </w:rPr>
        <w:t>QEC noted some of the challenges and opportunities it is facing, along with measures it has taken to mitigate impacts on its customers. QEC also summarized some of the initiatives it continues to explore regarding renewable energy sources and conservation initiatives. Some of these include the net metering program, the commercial and institutional power producer (CIPP) program, the LED street light replacement program, and a 500-kW solar panel installation with storage capacity at the Kugluktuk power plant.</w:t>
      </w:r>
    </w:p>
    <w:p w14:paraId="7262C869" w14:textId="2B0E0322" w:rsidR="00A61D1E" w:rsidRPr="00563FA3" w:rsidRDefault="00813998" w:rsidP="00C67278">
      <w:pPr>
        <w:pStyle w:val="Corpsdetexte"/>
        <w:ind w:hanging="530"/>
        <w:rPr>
          <w:vanish/>
          <w:lang w:val="fr-FR"/>
        </w:rPr>
      </w:pPr>
      <w:r w:rsidRPr="00563FA3">
        <w:rPr>
          <w:vanish/>
          <w:lang w:val="fr-FR"/>
        </w:rPr>
        <w:t>QEC submitted that it has improved the fuel efficiency at its power plants. QEC forecast an increase to 3.77 kW per litre of diesel in 2022/23, up from 3.71 kW in 2014/15 and 3.76 kW in 2018/19. QEC noted this would result in reduced consumption of about 100,000 litres of diesel (or $94,000) for the 2022/23 forecast.</w:t>
      </w:r>
    </w:p>
    <w:p w14:paraId="7262C86A" w14:textId="77777777" w:rsidR="005A5BD6" w:rsidRPr="00563FA3" w:rsidRDefault="00813998" w:rsidP="00C67278">
      <w:pPr>
        <w:pStyle w:val="Corpsdetexte"/>
        <w:ind w:hanging="530"/>
        <w:rPr>
          <w:vanish/>
          <w:lang w:val="fr-FR"/>
        </w:rPr>
      </w:pPr>
      <w:r w:rsidRPr="00563FA3">
        <w:rPr>
          <w:vanish/>
          <w:lang w:val="fr-FR"/>
        </w:rPr>
        <w:t>QEC also noted that its station service rate had improved due to a variety of initiatives and plant upgrades. The forecast station service rate of 3.1 per cent of generation in 2022/23 is improved from 3.3 per cent in 2018/19 and 3.5 per cent in 2014/15.</w:t>
      </w:r>
    </w:p>
    <w:p w14:paraId="7262C86B" w14:textId="698EDF09" w:rsidR="005A5BD6" w:rsidRPr="00563FA3" w:rsidRDefault="00813998" w:rsidP="00C67278">
      <w:pPr>
        <w:pStyle w:val="Corpsdetexte"/>
        <w:ind w:hanging="530"/>
        <w:rPr>
          <w:vanish/>
          <w:lang w:val="fr-FR"/>
        </w:rPr>
      </w:pPr>
      <w:r w:rsidRPr="00563FA3">
        <w:rPr>
          <w:vanish/>
          <w:lang w:val="fr-FR"/>
        </w:rPr>
        <w:t>QEC provided some narrative and analysis in support of each major revenue and expense category in the Phase 1 portion of the GRA. Some of the largest changes are summarized below. Each revenue and expense category will be examined later in this report based on information provided in the Application and responses to URRC information requests (IRs).</w:t>
      </w:r>
    </w:p>
    <w:p w14:paraId="7262C86C" w14:textId="1066EAA5" w:rsidR="00710EA7" w:rsidRPr="00563FA3" w:rsidRDefault="00813998" w:rsidP="00C67278">
      <w:pPr>
        <w:pStyle w:val="Corpsdetexte"/>
        <w:ind w:hanging="530"/>
        <w:rPr>
          <w:vanish/>
          <w:lang w:val="fr-FR"/>
        </w:rPr>
      </w:pPr>
      <w:r w:rsidRPr="00563FA3">
        <w:rPr>
          <w:vanish/>
          <w:lang w:val="fr-FR"/>
        </w:rPr>
        <w:t>The forecast 2022/23 non-fuel O&amp;M expenses increased approximately $4.446 million from the approved 2018/19 GRA. This was mainly due to general inflationary pressures and increased salaries and wages from organizational restructuring and labour agreements.</w:t>
      </w:r>
    </w:p>
    <w:p w14:paraId="7262C86D" w14:textId="77777777" w:rsidR="00865823" w:rsidRPr="00563FA3" w:rsidRDefault="00813998" w:rsidP="00C67278">
      <w:pPr>
        <w:pStyle w:val="Corpsdetexte"/>
        <w:ind w:hanging="530"/>
        <w:rPr>
          <w:vanish/>
          <w:lang w:val="fr-FR"/>
        </w:rPr>
      </w:pPr>
      <w:r w:rsidRPr="00563FA3">
        <w:rPr>
          <w:vanish/>
          <w:lang w:val="fr-FR"/>
        </w:rPr>
        <w:t>The forecast 2022/23 fuel and lubricants expense increased $2.723 million from the approved 2018/19 GRA primarily due to increased sales and diesel fuel prices, partially offset by improved fuel efficiency as noted above.</w:t>
      </w:r>
    </w:p>
    <w:p w14:paraId="7262C86E" w14:textId="67D5F352" w:rsidR="00865823" w:rsidRPr="00563FA3" w:rsidRDefault="00813998" w:rsidP="00C67278">
      <w:pPr>
        <w:pStyle w:val="Corpsdetexte"/>
        <w:ind w:hanging="530"/>
        <w:rPr>
          <w:vanish/>
          <w:lang w:val="fr-FR"/>
        </w:rPr>
      </w:pPr>
      <w:r w:rsidRPr="00563FA3">
        <w:rPr>
          <w:vanish/>
          <w:lang w:val="fr-FR"/>
        </w:rPr>
        <w:t>The forecast amortization and return on rate base increased by $3.103 million and $0.940 million, respectively, from the approved 2018/19 GRA. This was mainly due to increased investments made to replace aging power plants and other electricity infrastructure in order to maintain safe and reliable service to QEC’s customers. QEC also provided details regarding capital expenditures from 2018/19 through the 2022/23 forecast years.</w:t>
      </w:r>
    </w:p>
    <w:p w14:paraId="7262C86F" w14:textId="77777777" w:rsidR="00005869" w:rsidRPr="00563FA3" w:rsidRDefault="00813998" w:rsidP="00C67278">
      <w:pPr>
        <w:pStyle w:val="Corpsdetexte"/>
        <w:ind w:hanging="530"/>
        <w:rPr>
          <w:vanish/>
          <w:lang w:val="fr-FR"/>
        </w:rPr>
      </w:pPr>
      <w:r w:rsidRPr="00563FA3">
        <w:rPr>
          <w:vanish/>
          <w:lang w:val="fr-FR"/>
        </w:rPr>
        <w:t>The forecast revenues at existing rates increased by $4.573 million from the approved 2018/19 GRA. This was mainly due to increased domestic and commercial customers. QEC identified some of the communities that had experienced increased and/or decreased sales. QEC noted that changes were reflective of recent population growth trends, housing development and economic activity.</w:t>
      </w:r>
    </w:p>
    <w:p w14:paraId="7262C871" w14:textId="77777777" w:rsidR="000F31C0" w:rsidRPr="008166D7" w:rsidRDefault="00813998" w:rsidP="00AE1AF5">
      <w:pPr>
        <w:pStyle w:val="Heading2URRC"/>
        <w:rPr>
          <w:rFonts w:ascii="Times New Roman" w:hAnsi="Times New Roman"/>
          <w:vanish/>
        </w:rPr>
      </w:pPr>
      <w:r w:rsidRPr="008166D7">
        <w:rPr>
          <w:rFonts w:ascii="Times New Roman" w:hAnsi="Times New Roman"/>
          <w:vanish/>
        </w:rPr>
        <w:t>RATE DESIGN</w:t>
      </w:r>
    </w:p>
    <w:p w14:paraId="7262C872" w14:textId="0A0BF98D" w:rsidR="0098591E" w:rsidRPr="00563FA3" w:rsidRDefault="00813998" w:rsidP="00C67278">
      <w:pPr>
        <w:pStyle w:val="Corpsdetexte"/>
        <w:ind w:hanging="530"/>
        <w:rPr>
          <w:vanish/>
          <w:lang w:val="fr-FR"/>
        </w:rPr>
      </w:pPr>
      <w:r w:rsidRPr="00563FA3">
        <w:rPr>
          <w:vanish/>
          <w:lang w:val="fr-FR"/>
        </w:rPr>
        <w:t xml:space="preserve">QEC </w:t>
      </w:r>
      <w:r w:rsidRPr="00563FA3">
        <w:rPr>
          <w:vanish/>
          <w:lang w:val="fr-FR" w:eastAsia="en-CA" w:bidi="en-CA"/>
        </w:rPr>
        <w:t xml:space="preserve">noted that in a Ministerial Instruction dated May 30, 2018, it was instructed to work with the Government of Nunavut (GN) Department of Finance in reviewing the existing Nunavut Electricity Subsidy Program (NESP) for the purpose of developing a rate structure that ensures the needs of all Nunavummiut are taken into consideration. </w:t>
      </w:r>
    </w:p>
    <w:p w14:paraId="7262C873" w14:textId="67C38ED1" w:rsidR="007A57A6" w:rsidRPr="00563FA3" w:rsidRDefault="00813998" w:rsidP="00C67278">
      <w:pPr>
        <w:pStyle w:val="Corpsdetexte"/>
        <w:ind w:hanging="530"/>
        <w:rPr>
          <w:vanish/>
          <w:lang w:val="fr-FR"/>
        </w:rPr>
      </w:pPr>
      <w:r w:rsidRPr="00563FA3">
        <w:rPr>
          <w:vanish/>
          <w:lang w:val="fr-FR"/>
        </w:rPr>
        <w:t xml:space="preserve">QEC proposed a transition from the current community-based rate structure to a Nunavut-wide levelized rate structure (sometimes referred to as “postage stamp rates”). </w:t>
      </w:r>
      <w:r w:rsidR="007210C1" w:rsidRPr="00563FA3">
        <w:rPr>
          <w:vanish/>
          <w:lang w:val="fr-FR" w:eastAsia="en-CA" w:bidi="en-CA"/>
        </w:rPr>
        <w:t>Under Nunavut-wide rates, all customers in the same rate class would pay the same rates, in all communities throughout Nunavut. QEC submitted that this approach is better aligned with GN policy objectives and Inuit societal values. QEC also noted it is consistent with the URRC’s recommendation in Report 2018-01</w:t>
      </w:r>
      <w:r w:rsidRPr="008166D7">
        <w:rPr>
          <w:rStyle w:val="Appelnotedebasdep"/>
          <w:b/>
          <w:bCs/>
          <w:vanish/>
          <w:sz w:val="20"/>
          <w:szCs w:val="20"/>
          <w:lang w:val="en-CA" w:eastAsia="en-CA" w:bidi="en-CA"/>
        </w:rPr>
        <w:footnoteReference w:id="3"/>
      </w:r>
      <w:r w:rsidRPr="00563FA3">
        <w:rPr>
          <w:vanish/>
          <w:lang w:val="fr-FR" w:eastAsia="en-CA" w:bidi="en-CA"/>
        </w:rPr>
        <w:t xml:space="preserve"> of adopting higher revenue to cost coverage (RCC) ratios for government customers with a view to minimizing the effects of high rate increases on investment and economic growth in Nunavut.</w:t>
      </w:r>
    </w:p>
    <w:p w14:paraId="021823E1" w14:textId="6BEFDA7F" w:rsidR="00574242" w:rsidRPr="00563FA3" w:rsidRDefault="00813998" w:rsidP="00C67278">
      <w:pPr>
        <w:pStyle w:val="Corpsdetexte"/>
        <w:ind w:hanging="530"/>
        <w:rPr>
          <w:vanish/>
          <w:lang w:val="fr-FR"/>
        </w:rPr>
        <w:sectPr w:rsidR="00574242" w:rsidRPr="00563FA3" w:rsidSect="009B7EC8">
          <w:headerReference w:type="default" r:id="rId26"/>
          <w:pgSz w:w="12240" w:h="15840"/>
          <w:pgMar w:top="1440" w:right="1440" w:bottom="720" w:left="1440" w:header="1526" w:footer="720" w:gutter="0"/>
          <w:cols w:space="720"/>
          <w:docGrid w:linePitch="299"/>
        </w:sectPr>
      </w:pPr>
      <w:r w:rsidRPr="00563FA3">
        <w:rPr>
          <w:vanish/>
          <w:lang w:val="fr-FR"/>
        </w:rPr>
        <w:t>QEC proposed to change its rates so that the forecast revenues would match the forecast costs. This would require additional revenue of $6.6 million. QEC proposed to collect the shortfall by adjusting base energy rates, while maintaining existing customer and demand charges. The average increase in base energy rates is 5.1 per cent. QEC proposed that the new rates be implemented effective October 1, 2022. For additional information about the changes to the different domestic and commercial rate classes, please refer to Schedule 8.1 from the Application.</w:t>
      </w:r>
    </w:p>
    <w:p w14:paraId="7262C875" w14:textId="77777777" w:rsidR="00013CE1" w:rsidRPr="008166D7" w:rsidRDefault="00813998" w:rsidP="00574242">
      <w:pPr>
        <w:keepNext/>
        <w:keepLines/>
        <w:widowControl/>
        <w:jc w:val="center"/>
        <w:rPr>
          <w:b/>
          <w:vanish/>
          <w:sz w:val="24"/>
          <w:szCs w:val="24"/>
        </w:rPr>
      </w:pPr>
      <w:r w:rsidRPr="008166D7">
        <w:rPr>
          <w:b/>
          <w:vanish/>
          <w:sz w:val="24"/>
          <w:szCs w:val="24"/>
        </w:rPr>
        <w:t xml:space="preserve">Schedule 8.1 </w:t>
      </w:r>
    </w:p>
    <w:p w14:paraId="7262C876" w14:textId="77777777" w:rsidR="00013CE1" w:rsidRPr="008166D7" w:rsidRDefault="00813998" w:rsidP="004238F1">
      <w:pPr>
        <w:keepNext/>
        <w:keepLines/>
        <w:widowControl/>
        <w:spacing w:after="240"/>
        <w:jc w:val="center"/>
        <w:rPr>
          <w:b/>
          <w:vanish/>
          <w:sz w:val="24"/>
          <w:szCs w:val="24"/>
        </w:rPr>
      </w:pPr>
      <w:r w:rsidRPr="008166D7">
        <w:rPr>
          <w:b/>
          <w:vanish/>
          <w:sz w:val="24"/>
          <w:szCs w:val="24"/>
        </w:rPr>
        <w:t>2022/23 Rate Proposal</w:t>
      </w:r>
    </w:p>
    <w:p w14:paraId="685E7BD8" w14:textId="048249A7" w:rsidR="00013CE1" w:rsidRPr="008166D7" w:rsidRDefault="00813998" w:rsidP="00BF05A1">
      <w:pPr>
        <w:spacing w:line="360" w:lineRule="auto"/>
        <w:ind w:left="450"/>
        <w:jc w:val="center"/>
        <w:rPr>
          <w:noProof/>
          <w:vanish/>
        </w:rPr>
      </w:pPr>
      <w:r w:rsidRPr="008166D7">
        <w:rPr>
          <w:noProof/>
          <w:vanish/>
        </w:rPr>
        <w:drawing>
          <wp:inline distT="0" distB="0" distL="0" distR="0" wp14:anchorId="118A2AA6" wp14:editId="7C92D627">
            <wp:extent cx="8595360" cy="402221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03345"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649545" cy="4047569"/>
                    </a:xfrm>
                    <a:prstGeom prst="rect">
                      <a:avLst/>
                    </a:prstGeom>
                    <a:noFill/>
                    <a:ln>
                      <a:noFill/>
                    </a:ln>
                  </pic:spPr>
                </pic:pic>
              </a:graphicData>
            </a:graphic>
          </wp:inline>
        </w:drawing>
      </w:r>
    </w:p>
    <w:p w14:paraId="47C5432C" w14:textId="77777777" w:rsidR="00072D9A" w:rsidRPr="008166D7" w:rsidRDefault="00072D9A" w:rsidP="00013CE1">
      <w:pPr>
        <w:spacing w:line="360" w:lineRule="auto"/>
        <w:rPr>
          <w:noProof/>
          <w:vanish/>
        </w:rPr>
      </w:pPr>
    </w:p>
    <w:p w14:paraId="7262C878" w14:textId="19CF7B98" w:rsidR="00072D9A" w:rsidRPr="008166D7" w:rsidRDefault="00072D9A" w:rsidP="00013CE1">
      <w:pPr>
        <w:spacing w:line="360" w:lineRule="auto"/>
        <w:rPr>
          <w:vanish/>
          <w:sz w:val="24"/>
        </w:rPr>
        <w:sectPr w:rsidR="00072D9A" w:rsidRPr="008166D7" w:rsidSect="00072D9A">
          <w:headerReference w:type="default" r:id="rId28"/>
          <w:pgSz w:w="15840" w:h="12240" w:orient="landscape"/>
          <w:pgMar w:top="1440" w:right="1440" w:bottom="1440" w:left="720" w:header="1526" w:footer="734" w:gutter="0"/>
          <w:cols w:space="720"/>
          <w:docGrid w:linePitch="299"/>
        </w:sectPr>
      </w:pPr>
    </w:p>
    <w:p w14:paraId="7262C87B" w14:textId="401F3766" w:rsidR="00E314B7" w:rsidRPr="008166D7" w:rsidRDefault="00813998" w:rsidP="00C67278">
      <w:pPr>
        <w:pStyle w:val="Corpsdetexte"/>
        <w:ind w:hanging="530"/>
        <w:rPr>
          <w:vanish/>
        </w:rPr>
      </w:pPr>
      <w:r w:rsidRPr="00563FA3">
        <w:rPr>
          <w:vanish/>
          <w:lang w:val="fr-FR"/>
        </w:rPr>
        <w:t xml:space="preserve">QEC provided its proposed street light rates, reflecting its ongoing LED conversion program. The rates for all types of street lights will increase by 5.1 per cent, noting that the rates for LED fixtures were already level across all communities. </w:t>
      </w:r>
      <w:r w:rsidRPr="008166D7">
        <w:rPr>
          <w:vanish/>
        </w:rPr>
        <w:t>The rates were provided in Schedule 8.2 from the Application.</w:t>
      </w:r>
    </w:p>
    <w:p w14:paraId="7ABEB805" w14:textId="77777777" w:rsidR="001C035F" w:rsidRPr="008166D7" w:rsidRDefault="001C035F" w:rsidP="001C035F">
      <w:pPr>
        <w:pStyle w:val="Corpsdetexte"/>
        <w:numPr>
          <w:ilvl w:val="0"/>
          <w:numId w:val="0"/>
        </w:numPr>
        <w:ind w:left="1070"/>
        <w:rPr>
          <w:vanish/>
        </w:rPr>
        <w:sectPr w:rsidR="001C035F" w:rsidRPr="008166D7" w:rsidSect="005E6E64">
          <w:headerReference w:type="default" r:id="rId29"/>
          <w:pgSz w:w="12240" w:h="15840"/>
          <w:pgMar w:top="1440" w:right="1440" w:bottom="720" w:left="1440" w:header="1526" w:footer="734" w:gutter="0"/>
          <w:cols w:space="720"/>
        </w:sectPr>
      </w:pPr>
    </w:p>
    <w:p w14:paraId="3C14B485" w14:textId="6BDDEE96" w:rsidR="00BF05A1" w:rsidRPr="00563FA3" w:rsidRDefault="00813998" w:rsidP="00F44826">
      <w:pPr>
        <w:pStyle w:val="QECSchedule"/>
        <w:keepNext/>
        <w:keepLines/>
        <w:spacing w:after="0" w:line="240" w:lineRule="auto"/>
        <w:rPr>
          <w:rFonts w:ascii="Times New Roman" w:hAnsi="Times New Roman" w:cs="Times New Roman"/>
          <w:vanish/>
          <w:lang w:val="fr-FR"/>
        </w:rPr>
      </w:pPr>
      <w:r w:rsidRPr="008166D7">
        <w:rPr>
          <w:rFonts w:ascii="Times New Roman" w:hAnsi="Times New Roman" w:cs="Times New Roman"/>
          <w:vanish/>
          <w:lang w:val="fr-CA"/>
        </w:rPr>
        <w:t>Schedule 8.2</w:t>
      </w:r>
    </w:p>
    <w:p w14:paraId="0958456E" w14:textId="6115478E" w:rsidR="001C035F" w:rsidRPr="00563FA3" w:rsidRDefault="00813998" w:rsidP="00A079A4">
      <w:pPr>
        <w:pStyle w:val="QECSchedule"/>
        <w:keepNext/>
        <w:keepLines/>
        <w:spacing w:line="240" w:lineRule="auto"/>
        <w:rPr>
          <w:rFonts w:ascii="Times New Roman" w:hAnsi="Times New Roman" w:cs="Times New Roman"/>
          <w:vanish/>
          <w:lang w:val="fr-FR"/>
        </w:rPr>
        <w:sectPr w:rsidR="001C035F" w:rsidRPr="00563FA3" w:rsidSect="001C035F">
          <w:headerReference w:type="default" r:id="rId30"/>
          <w:pgSz w:w="15840" w:h="12240" w:orient="landscape"/>
          <w:pgMar w:top="1440" w:right="1440" w:bottom="1440" w:left="720" w:header="1526" w:footer="734" w:gutter="0"/>
          <w:cols w:space="720"/>
          <w:docGrid w:linePitch="299"/>
        </w:sectPr>
      </w:pPr>
      <w:r w:rsidRPr="008166D7">
        <w:rPr>
          <w:rFonts w:ascii="Times New Roman" w:hAnsi="Times New Roman" w:cs="Times New Roman"/>
          <w:vanish/>
          <w:lang w:val="fr-CA"/>
        </w:rPr>
        <w:t xml:space="preserve">2022/23 Rate Proposal – Street lights </w:t>
      </w:r>
      <w:r w:rsidRPr="008166D7">
        <w:rPr>
          <w:rFonts w:ascii="Times New Roman" w:hAnsi="Times New Roman" w:cs="Times New Roman"/>
          <w:noProof/>
          <w:vanish/>
          <w:lang w:val="fr-CA"/>
        </w:rPr>
        <w:drawing>
          <wp:inline distT="0" distB="0" distL="0" distR="0" wp14:anchorId="282E8AAF" wp14:editId="1C8B2070">
            <wp:extent cx="8603311" cy="3353643"/>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9588"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8640039" cy="3367960"/>
                    </a:xfrm>
                    <a:prstGeom prst="rect">
                      <a:avLst/>
                    </a:prstGeom>
                    <a:noFill/>
                    <a:ln>
                      <a:noFill/>
                    </a:ln>
                  </pic:spPr>
                </pic:pic>
              </a:graphicData>
            </a:graphic>
          </wp:inline>
        </w:drawing>
      </w:r>
    </w:p>
    <w:p w14:paraId="7262C87E" w14:textId="36D55D44" w:rsidR="007A57A6" w:rsidRPr="00563FA3" w:rsidRDefault="00813998" w:rsidP="00C67278">
      <w:pPr>
        <w:pStyle w:val="Corpsdetexte"/>
        <w:ind w:hanging="530"/>
        <w:rPr>
          <w:vanish/>
          <w:lang w:val="fr-FR"/>
        </w:rPr>
      </w:pPr>
      <w:r w:rsidRPr="00563FA3">
        <w:rPr>
          <w:vanish/>
          <w:lang w:val="fr-FR"/>
        </w:rPr>
        <w:t xml:space="preserve">The GRA application includes QEC’s estimates of the bill impacts for the different customer classes using the proposed Nunavut-wide rate structure, assuming monthly consumption of 1,000 kilowatt-hour (kWh) for domestic customers and 2,000 kWh for commercial customers. </w:t>
      </w:r>
    </w:p>
    <w:p w14:paraId="7262C87F" w14:textId="77777777" w:rsidR="007A57A6" w:rsidRPr="00563FA3" w:rsidRDefault="00813998" w:rsidP="00C67278">
      <w:pPr>
        <w:pStyle w:val="Corpsdetexte"/>
        <w:ind w:hanging="530"/>
        <w:rPr>
          <w:vanish/>
          <w:lang w:val="fr-FR"/>
        </w:rPr>
      </w:pPr>
      <w:r w:rsidRPr="00563FA3">
        <w:rPr>
          <w:vanish/>
          <w:lang w:val="fr-FR"/>
        </w:rPr>
        <w:t>Bill impacts from changing the existing rates to the proposed rate structure for the above-mentioned assumed monthly consumptions are summarized in Table 8.4 from the Application.</w:t>
      </w:r>
    </w:p>
    <w:p w14:paraId="5D765B5F" w14:textId="77777777" w:rsidR="00F44826" w:rsidRPr="00563FA3" w:rsidRDefault="00813998" w:rsidP="00F44826">
      <w:pPr>
        <w:pStyle w:val="QECTableCaption"/>
        <w:keepNext/>
        <w:keepLines/>
        <w:spacing w:after="0" w:line="240" w:lineRule="auto"/>
        <w:rPr>
          <w:rFonts w:ascii="Times New Roman" w:hAnsi="Times New Roman" w:cs="Times New Roman"/>
          <w:vanish/>
          <w:lang w:val="fr-FR"/>
        </w:rPr>
      </w:pPr>
      <w:r w:rsidRPr="00563FA3">
        <w:rPr>
          <w:rFonts w:ascii="Times New Roman" w:hAnsi="Times New Roman" w:cs="Times New Roman"/>
          <w:vanish/>
          <w:lang w:val="fr-FR"/>
        </w:rPr>
        <w:t>Table 8.4</w:t>
      </w:r>
    </w:p>
    <w:p w14:paraId="7262C880" w14:textId="2534529F" w:rsidR="007A57A6" w:rsidRPr="00563FA3" w:rsidRDefault="00813998" w:rsidP="00F44826">
      <w:pPr>
        <w:pStyle w:val="QECTableCaption"/>
        <w:keepNext/>
        <w:keepLines/>
        <w:spacing w:line="240" w:lineRule="auto"/>
        <w:rPr>
          <w:rFonts w:ascii="Times New Roman" w:hAnsi="Times New Roman" w:cs="Times New Roman"/>
          <w:vanish/>
          <w:lang w:val="fr-FR"/>
        </w:rPr>
      </w:pPr>
      <w:r w:rsidRPr="00563FA3">
        <w:rPr>
          <w:rFonts w:ascii="Times New Roman" w:hAnsi="Times New Roman" w:cs="Times New Roman"/>
          <w:vanish/>
          <w:lang w:val="fr-FR"/>
        </w:rPr>
        <w:t>2022/23 Rate Proposal Bill Impacts Over the Existing Rates</w:t>
      </w:r>
    </w:p>
    <w:tbl>
      <w:tblPr>
        <w:tblStyle w:val="Grilledutableau"/>
        <w:tblW w:w="8675" w:type="dxa"/>
        <w:jc w:val="center"/>
        <w:tblLayout w:type="fixed"/>
        <w:tblLook w:val="04A0" w:firstRow="1" w:lastRow="0" w:firstColumn="1" w:lastColumn="0" w:noHBand="0" w:noVBand="1"/>
      </w:tblPr>
      <w:tblGrid>
        <w:gridCol w:w="3114"/>
        <w:gridCol w:w="2565"/>
        <w:gridCol w:w="2996"/>
      </w:tblGrid>
      <w:tr w:rsidR="00F6615E" w:rsidRPr="008166D7" w14:paraId="7262C884" w14:textId="77777777" w:rsidTr="008827D8">
        <w:trPr>
          <w:trHeight w:val="870"/>
          <w:jc w:val="center"/>
          <w:hidden/>
        </w:trPr>
        <w:tc>
          <w:tcPr>
            <w:tcW w:w="3114" w:type="dxa"/>
            <w:vAlign w:val="center"/>
          </w:tcPr>
          <w:p w14:paraId="7262C881" w14:textId="77777777" w:rsidR="007A57A6" w:rsidRPr="00563FA3" w:rsidRDefault="007A57A6" w:rsidP="008827D8">
            <w:pPr>
              <w:jc w:val="center"/>
              <w:rPr>
                <w:vanish/>
                <w:sz w:val="20"/>
                <w:szCs w:val="20"/>
                <w:lang w:val="fr-FR"/>
              </w:rPr>
            </w:pPr>
          </w:p>
        </w:tc>
        <w:tc>
          <w:tcPr>
            <w:tcW w:w="2565" w:type="dxa"/>
            <w:vAlign w:val="center"/>
          </w:tcPr>
          <w:p w14:paraId="7262C882" w14:textId="77777777" w:rsidR="007A57A6" w:rsidRPr="008166D7" w:rsidRDefault="00813998" w:rsidP="008827D8">
            <w:pPr>
              <w:jc w:val="center"/>
              <w:rPr>
                <w:b/>
                <w:bCs/>
                <w:vanish/>
                <w:sz w:val="20"/>
                <w:szCs w:val="20"/>
              </w:rPr>
            </w:pPr>
            <w:r w:rsidRPr="008166D7">
              <w:rPr>
                <w:b/>
                <w:bCs/>
                <w:vanish/>
                <w:sz w:val="20"/>
                <w:szCs w:val="20"/>
              </w:rPr>
              <w:t>Iqaluit Average Bill Changes</w:t>
            </w:r>
          </w:p>
        </w:tc>
        <w:tc>
          <w:tcPr>
            <w:tcW w:w="2996" w:type="dxa"/>
            <w:vAlign w:val="center"/>
          </w:tcPr>
          <w:p w14:paraId="7262C883" w14:textId="77777777" w:rsidR="007A57A6" w:rsidRPr="00563FA3" w:rsidRDefault="00813998" w:rsidP="008827D8">
            <w:pPr>
              <w:jc w:val="center"/>
              <w:rPr>
                <w:b/>
                <w:bCs/>
                <w:vanish/>
                <w:sz w:val="20"/>
                <w:szCs w:val="20"/>
                <w:lang w:val="fr-FR"/>
              </w:rPr>
            </w:pPr>
            <w:r w:rsidRPr="00563FA3">
              <w:rPr>
                <w:b/>
                <w:bCs/>
                <w:vanish/>
                <w:sz w:val="20"/>
                <w:szCs w:val="20"/>
                <w:lang w:val="fr-FR"/>
              </w:rPr>
              <w:t>All Other Communities Average Bill Changes</w:t>
            </w:r>
          </w:p>
        </w:tc>
      </w:tr>
      <w:tr w:rsidR="00F6615E" w:rsidRPr="008166D7" w14:paraId="7262C888" w14:textId="77777777" w:rsidTr="00C946BE">
        <w:trPr>
          <w:trHeight w:val="512"/>
          <w:jc w:val="center"/>
          <w:hidden/>
        </w:trPr>
        <w:tc>
          <w:tcPr>
            <w:tcW w:w="3114" w:type="dxa"/>
          </w:tcPr>
          <w:p w14:paraId="7262C885" w14:textId="77777777" w:rsidR="007A57A6" w:rsidRPr="00563FA3" w:rsidRDefault="00813998" w:rsidP="00C946BE">
            <w:pPr>
              <w:spacing w:after="120"/>
              <w:rPr>
                <w:vanish/>
                <w:sz w:val="20"/>
                <w:szCs w:val="20"/>
                <w:lang w:val="fr-FR"/>
              </w:rPr>
            </w:pPr>
            <w:r w:rsidRPr="00563FA3">
              <w:rPr>
                <w:vanish/>
                <w:sz w:val="20"/>
                <w:szCs w:val="20"/>
                <w:lang w:val="fr-FR"/>
              </w:rPr>
              <w:t>Non-government Domestic - NESP Subsidized</w:t>
            </w:r>
          </w:p>
        </w:tc>
        <w:tc>
          <w:tcPr>
            <w:tcW w:w="2565" w:type="dxa"/>
          </w:tcPr>
          <w:p w14:paraId="7262C886" w14:textId="77777777" w:rsidR="007A57A6" w:rsidRPr="008166D7" w:rsidRDefault="00813998" w:rsidP="008827D8">
            <w:pPr>
              <w:rPr>
                <w:vanish/>
                <w:sz w:val="20"/>
                <w:szCs w:val="20"/>
              </w:rPr>
            </w:pPr>
            <w:r w:rsidRPr="008166D7">
              <w:rPr>
                <w:vanish/>
                <w:sz w:val="20"/>
                <w:szCs w:val="20"/>
              </w:rPr>
              <w:t>Increase of 5.1%</w:t>
            </w:r>
          </w:p>
        </w:tc>
        <w:tc>
          <w:tcPr>
            <w:tcW w:w="2996" w:type="dxa"/>
          </w:tcPr>
          <w:p w14:paraId="7262C887" w14:textId="77777777" w:rsidR="007A57A6" w:rsidRPr="008166D7" w:rsidRDefault="00813998" w:rsidP="008827D8">
            <w:pPr>
              <w:rPr>
                <w:vanish/>
                <w:sz w:val="20"/>
                <w:szCs w:val="20"/>
              </w:rPr>
            </w:pPr>
            <w:r w:rsidRPr="008166D7">
              <w:rPr>
                <w:vanish/>
                <w:sz w:val="20"/>
                <w:szCs w:val="20"/>
              </w:rPr>
              <w:t>Increase of 5.1%</w:t>
            </w:r>
          </w:p>
        </w:tc>
      </w:tr>
      <w:tr w:rsidR="00F6615E" w:rsidRPr="008166D7" w14:paraId="7262C88C" w14:textId="77777777" w:rsidTr="00C946BE">
        <w:trPr>
          <w:trHeight w:val="521"/>
          <w:jc w:val="center"/>
          <w:hidden/>
        </w:trPr>
        <w:tc>
          <w:tcPr>
            <w:tcW w:w="3114" w:type="dxa"/>
          </w:tcPr>
          <w:p w14:paraId="7262C889" w14:textId="77777777" w:rsidR="007A57A6" w:rsidRPr="008166D7" w:rsidRDefault="00813998" w:rsidP="008827D8">
            <w:pPr>
              <w:rPr>
                <w:vanish/>
                <w:sz w:val="20"/>
                <w:szCs w:val="20"/>
              </w:rPr>
            </w:pPr>
            <w:r w:rsidRPr="008166D7">
              <w:rPr>
                <w:vanish/>
                <w:sz w:val="20"/>
                <w:szCs w:val="20"/>
              </w:rPr>
              <w:t>Non-government Domestic - Unsubsidized</w:t>
            </w:r>
          </w:p>
        </w:tc>
        <w:tc>
          <w:tcPr>
            <w:tcW w:w="2565" w:type="dxa"/>
          </w:tcPr>
          <w:p w14:paraId="7262C88A" w14:textId="77777777" w:rsidR="007A57A6" w:rsidRPr="008166D7" w:rsidRDefault="00813998" w:rsidP="008827D8">
            <w:pPr>
              <w:rPr>
                <w:vanish/>
                <w:sz w:val="20"/>
                <w:szCs w:val="20"/>
              </w:rPr>
            </w:pPr>
            <w:r w:rsidRPr="008166D7">
              <w:rPr>
                <w:vanish/>
                <w:sz w:val="20"/>
                <w:szCs w:val="20"/>
              </w:rPr>
              <w:t>Increase of 5.0%</w:t>
            </w:r>
          </w:p>
        </w:tc>
        <w:tc>
          <w:tcPr>
            <w:tcW w:w="2996" w:type="dxa"/>
          </w:tcPr>
          <w:p w14:paraId="7262C88B" w14:textId="77777777" w:rsidR="007A57A6" w:rsidRPr="00563FA3" w:rsidRDefault="00813998" w:rsidP="00C946BE">
            <w:pPr>
              <w:spacing w:after="120"/>
              <w:rPr>
                <w:vanish/>
                <w:sz w:val="20"/>
                <w:szCs w:val="20"/>
                <w:lang w:val="fr-FR"/>
              </w:rPr>
            </w:pPr>
            <w:r w:rsidRPr="00563FA3">
              <w:rPr>
                <w:vanish/>
                <w:sz w:val="20"/>
                <w:szCs w:val="20"/>
                <w:lang w:val="fr-FR"/>
              </w:rPr>
              <w:t>Decrease of 46.2% (Kugaaruk) to Increase of 1.5% (Rankin Inlet)</w:t>
            </w:r>
          </w:p>
        </w:tc>
      </w:tr>
      <w:tr w:rsidR="00F6615E" w:rsidRPr="008166D7" w14:paraId="7262C890" w14:textId="77777777" w:rsidTr="00C946BE">
        <w:trPr>
          <w:trHeight w:val="467"/>
          <w:jc w:val="center"/>
          <w:hidden/>
        </w:trPr>
        <w:tc>
          <w:tcPr>
            <w:tcW w:w="3114" w:type="dxa"/>
          </w:tcPr>
          <w:p w14:paraId="7262C88D" w14:textId="77777777" w:rsidR="007A57A6" w:rsidRPr="008166D7" w:rsidRDefault="00813998" w:rsidP="008827D8">
            <w:pPr>
              <w:rPr>
                <w:vanish/>
                <w:sz w:val="20"/>
                <w:szCs w:val="20"/>
              </w:rPr>
            </w:pPr>
            <w:r w:rsidRPr="008166D7">
              <w:rPr>
                <w:vanish/>
                <w:sz w:val="20"/>
                <w:szCs w:val="20"/>
              </w:rPr>
              <w:t xml:space="preserve">Non-government Commercial </w:t>
            </w:r>
          </w:p>
        </w:tc>
        <w:tc>
          <w:tcPr>
            <w:tcW w:w="2565" w:type="dxa"/>
          </w:tcPr>
          <w:p w14:paraId="7262C88E" w14:textId="77777777" w:rsidR="007A57A6" w:rsidRPr="008166D7" w:rsidRDefault="00813998" w:rsidP="008827D8">
            <w:pPr>
              <w:rPr>
                <w:vanish/>
                <w:sz w:val="20"/>
                <w:szCs w:val="20"/>
              </w:rPr>
            </w:pPr>
            <w:r w:rsidRPr="008166D7">
              <w:rPr>
                <w:vanish/>
                <w:sz w:val="20"/>
                <w:szCs w:val="20"/>
              </w:rPr>
              <w:t>Increase of 4.9%</w:t>
            </w:r>
          </w:p>
        </w:tc>
        <w:tc>
          <w:tcPr>
            <w:tcW w:w="2996" w:type="dxa"/>
          </w:tcPr>
          <w:p w14:paraId="7262C88F" w14:textId="77777777" w:rsidR="007A57A6" w:rsidRPr="00563FA3" w:rsidRDefault="00813998" w:rsidP="00C946BE">
            <w:pPr>
              <w:spacing w:after="120"/>
              <w:rPr>
                <w:vanish/>
                <w:sz w:val="20"/>
                <w:szCs w:val="20"/>
                <w:lang w:val="fr-FR"/>
              </w:rPr>
            </w:pPr>
            <w:r w:rsidRPr="00563FA3">
              <w:rPr>
                <w:vanish/>
                <w:sz w:val="20"/>
                <w:szCs w:val="20"/>
                <w:lang w:val="fr-FR"/>
              </w:rPr>
              <w:t>Decrease of 3.9% (Rankin Inlet) to 54.0% (Whale Cove)</w:t>
            </w:r>
          </w:p>
        </w:tc>
      </w:tr>
      <w:tr w:rsidR="00F6615E" w:rsidRPr="008166D7" w14:paraId="7262C894" w14:textId="77777777" w:rsidTr="00C946BE">
        <w:trPr>
          <w:trHeight w:val="422"/>
          <w:jc w:val="center"/>
          <w:hidden/>
        </w:trPr>
        <w:tc>
          <w:tcPr>
            <w:tcW w:w="3114" w:type="dxa"/>
          </w:tcPr>
          <w:p w14:paraId="7262C891" w14:textId="77777777" w:rsidR="007A57A6" w:rsidRPr="008166D7" w:rsidRDefault="00813998" w:rsidP="008827D8">
            <w:pPr>
              <w:rPr>
                <w:vanish/>
                <w:sz w:val="20"/>
                <w:szCs w:val="20"/>
              </w:rPr>
            </w:pPr>
            <w:r w:rsidRPr="008166D7">
              <w:rPr>
                <w:vanish/>
                <w:sz w:val="20"/>
                <w:szCs w:val="20"/>
              </w:rPr>
              <w:t>Government Domestic</w:t>
            </w:r>
          </w:p>
        </w:tc>
        <w:tc>
          <w:tcPr>
            <w:tcW w:w="2565" w:type="dxa"/>
          </w:tcPr>
          <w:p w14:paraId="7262C892" w14:textId="77777777" w:rsidR="007A57A6" w:rsidRPr="008166D7" w:rsidRDefault="00813998" w:rsidP="008827D8">
            <w:pPr>
              <w:rPr>
                <w:vanish/>
                <w:sz w:val="20"/>
                <w:szCs w:val="20"/>
              </w:rPr>
            </w:pPr>
            <w:r w:rsidRPr="008166D7">
              <w:rPr>
                <w:vanish/>
                <w:sz w:val="20"/>
                <w:szCs w:val="20"/>
              </w:rPr>
              <w:t>Increase of 57.8%</w:t>
            </w:r>
          </w:p>
        </w:tc>
        <w:tc>
          <w:tcPr>
            <w:tcW w:w="2996" w:type="dxa"/>
          </w:tcPr>
          <w:p w14:paraId="7262C893" w14:textId="77777777" w:rsidR="007A57A6" w:rsidRPr="00563FA3" w:rsidRDefault="00813998" w:rsidP="00C946BE">
            <w:pPr>
              <w:spacing w:after="120"/>
              <w:rPr>
                <w:vanish/>
                <w:sz w:val="20"/>
                <w:szCs w:val="20"/>
                <w:lang w:val="fr-FR"/>
              </w:rPr>
            </w:pPr>
            <w:r w:rsidRPr="00563FA3">
              <w:rPr>
                <w:vanish/>
                <w:sz w:val="20"/>
                <w:szCs w:val="20"/>
                <w:lang w:val="fr-FR"/>
              </w:rPr>
              <w:t xml:space="preserve">Decrease of 36.7% (Whale Cove) to Increase of 52.5% (Rankin Inlet) </w:t>
            </w:r>
          </w:p>
        </w:tc>
      </w:tr>
      <w:tr w:rsidR="00F6615E" w:rsidRPr="008166D7" w14:paraId="7262C898" w14:textId="77777777" w:rsidTr="00C946BE">
        <w:trPr>
          <w:trHeight w:val="467"/>
          <w:jc w:val="center"/>
          <w:hidden/>
        </w:trPr>
        <w:tc>
          <w:tcPr>
            <w:tcW w:w="3114" w:type="dxa"/>
          </w:tcPr>
          <w:p w14:paraId="7262C895" w14:textId="77777777" w:rsidR="007A57A6" w:rsidRPr="008166D7" w:rsidRDefault="00813998" w:rsidP="008827D8">
            <w:pPr>
              <w:rPr>
                <w:vanish/>
                <w:sz w:val="20"/>
                <w:szCs w:val="20"/>
              </w:rPr>
            </w:pPr>
            <w:r w:rsidRPr="008166D7">
              <w:rPr>
                <w:vanish/>
                <w:sz w:val="20"/>
                <w:szCs w:val="20"/>
              </w:rPr>
              <w:t>Government Commercial</w:t>
            </w:r>
          </w:p>
        </w:tc>
        <w:tc>
          <w:tcPr>
            <w:tcW w:w="2565" w:type="dxa"/>
          </w:tcPr>
          <w:p w14:paraId="7262C896" w14:textId="77777777" w:rsidR="007A57A6" w:rsidRPr="008166D7" w:rsidRDefault="00813998" w:rsidP="008827D8">
            <w:pPr>
              <w:rPr>
                <w:vanish/>
                <w:sz w:val="20"/>
                <w:szCs w:val="20"/>
              </w:rPr>
            </w:pPr>
            <w:r w:rsidRPr="008166D7">
              <w:rPr>
                <w:vanish/>
                <w:sz w:val="20"/>
                <w:szCs w:val="20"/>
              </w:rPr>
              <w:t>Increase of 68.8%</w:t>
            </w:r>
          </w:p>
        </w:tc>
        <w:tc>
          <w:tcPr>
            <w:tcW w:w="2996" w:type="dxa"/>
          </w:tcPr>
          <w:p w14:paraId="7262C897" w14:textId="77777777" w:rsidR="007A57A6" w:rsidRPr="00563FA3" w:rsidRDefault="00813998" w:rsidP="00C946BE">
            <w:pPr>
              <w:spacing w:after="120"/>
              <w:rPr>
                <w:vanish/>
                <w:sz w:val="20"/>
                <w:szCs w:val="20"/>
                <w:lang w:val="fr-FR"/>
              </w:rPr>
            </w:pPr>
            <w:r w:rsidRPr="00563FA3">
              <w:rPr>
                <w:vanish/>
                <w:sz w:val="20"/>
                <w:szCs w:val="20"/>
                <w:lang w:val="fr-FR"/>
              </w:rPr>
              <w:t xml:space="preserve">Decrease of 31.3% (Whale Cove) to Increase of 49.3% (Igloolik) </w:t>
            </w:r>
          </w:p>
        </w:tc>
      </w:tr>
    </w:tbl>
    <w:p w14:paraId="7262C899" w14:textId="77777777" w:rsidR="007A57A6" w:rsidRPr="008166D7" w:rsidRDefault="007A57A6" w:rsidP="00BB4840">
      <w:pPr>
        <w:spacing w:after="240"/>
        <w:rPr>
          <w:vanish/>
          <w:lang w:val="en-US"/>
        </w:rPr>
      </w:pPr>
    </w:p>
    <w:p w14:paraId="7262C89A" w14:textId="047C1B7B" w:rsidR="00131D45" w:rsidRPr="008166D7" w:rsidRDefault="00813998" w:rsidP="001A4F3B">
      <w:pPr>
        <w:pStyle w:val="Corpsdetexte"/>
        <w:ind w:hanging="530"/>
        <w:rPr>
          <w:vanish/>
        </w:rPr>
      </w:pPr>
      <w:r w:rsidRPr="008166D7">
        <w:rPr>
          <w:vanish/>
          <w:lang w:val="en-US"/>
        </w:rPr>
        <w:t xml:space="preserve">QEC also provided an estimate of the bill impacts by community in Schedule 8.4 from the Application. </w:t>
      </w:r>
      <w:r w:rsidRPr="008166D7">
        <w:rPr>
          <w:vanish/>
        </w:rPr>
        <w:t>This was again based on the assumed monthly consumptions.</w:t>
      </w:r>
    </w:p>
    <w:p w14:paraId="5BE32531" w14:textId="77777777" w:rsidR="006456CE" w:rsidRPr="008166D7" w:rsidRDefault="006456CE" w:rsidP="006456CE">
      <w:pPr>
        <w:pStyle w:val="Corpsdetexte"/>
        <w:numPr>
          <w:ilvl w:val="0"/>
          <w:numId w:val="0"/>
        </w:numPr>
        <w:ind w:left="1070"/>
        <w:rPr>
          <w:vanish/>
        </w:rPr>
        <w:sectPr w:rsidR="006456CE" w:rsidRPr="008166D7" w:rsidSect="005E6E64">
          <w:headerReference w:type="default" r:id="rId32"/>
          <w:pgSz w:w="12240" w:h="15840"/>
          <w:pgMar w:top="1440" w:right="1440" w:bottom="720" w:left="1440" w:header="1526" w:footer="734" w:gutter="0"/>
          <w:cols w:space="720"/>
        </w:sectPr>
      </w:pPr>
    </w:p>
    <w:p w14:paraId="3E21851B" w14:textId="77777777" w:rsidR="005F5F7C" w:rsidRPr="008166D7" w:rsidRDefault="00813998" w:rsidP="00867398">
      <w:pPr>
        <w:pStyle w:val="QECSchedule"/>
        <w:keepNext/>
        <w:keepLines/>
        <w:spacing w:after="0" w:line="240" w:lineRule="auto"/>
        <w:rPr>
          <w:rFonts w:ascii="Times New Roman" w:hAnsi="Times New Roman" w:cs="Times New Roman"/>
          <w:vanish/>
        </w:rPr>
      </w:pPr>
      <w:r w:rsidRPr="008166D7">
        <w:rPr>
          <w:rFonts w:ascii="Times New Roman" w:hAnsi="Times New Roman" w:cs="Times New Roman"/>
          <w:vanish/>
          <w:lang w:val="fr-CA"/>
        </w:rPr>
        <w:t>Schedule 8.4</w:t>
      </w:r>
    </w:p>
    <w:p w14:paraId="7262C89B" w14:textId="7F123F5B" w:rsidR="00B1607C" w:rsidRPr="008166D7" w:rsidRDefault="00813998" w:rsidP="008E22F9">
      <w:pPr>
        <w:pStyle w:val="QECSchedule"/>
        <w:keepNext/>
        <w:keepLines/>
        <w:spacing w:line="240" w:lineRule="auto"/>
        <w:rPr>
          <w:rFonts w:ascii="Times New Roman" w:hAnsi="Times New Roman" w:cs="Times New Roman"/>
          <w:vanish/>
        </w:rPr>
      </w:pPr>
      <w:r w:rsidRPr="008166D7">
        <w:rPr>
          <w:rFonts w:ascii="Times New Roman" w:hAnsi="Times New Roman" w:cs="Times New Roman"/>
          <w:vanish/>
          <w:lang w:val="en-US"/>
        </w:rPr>
        <w:t>2022/23</w:t>
      </w:r>
      <w:r w:rsidR="00296C2D">
        <w:rPr>
          <w:rFonts w:ascii="Times New Roman" w:hAnsi="Times New Roman" w:cs="Times New Roman"/>
          <w:vanish/>
          <w:lang w:val="en-US"/>
        </w:rPr>
        <w:t> </w:t>
      </w:r>
      <w:r w:rsidRPr="008166D7">
        <w:rPr>
          <w:rFonts w:ascii="Times New Roman" w:hAnsi="Times New Roman" w:cs="Times New Roman"/>
          <w:vanish/>
          <w:lang w:val="en-US"/>
        </w:rPr>
        <w:t>Rate Proposal Bill Impact Estimates*</w:t>
      </w:r>
    </w:p>
    <w:p w14:paraId="7262C89D" w14:textId="52E40D62" w:rsidR="00131D45" w:rsidRPr="008166D7" w:rsidRDefault="00813998" w:rsidP="00867398">
      <w:pPr>
        <w:pStyle w:val="Corpsdetexte"/>
        <w:numPr>
          <w:ilvl w:val="0"/>
          <w:numId w:val="0"/>
        </w:numPr>
        <w:spacing w:line="240" w:lineRule="auto"/>
        <w:ind w:left="360"/>
        <w:rPr>
          <w:vanish/>
        </w:rPr>
      </w:pPr>
      <w:r w:rsidRPr="008166D7">
        <w:rPr>
          <w:noProof/>
          <w:vanish/>
        </w:rPr>
        <w:drawing>
          <wp:inline distT="0" distB="0" distL="0" distR="0" wp14:anchorId="20681965" wp14:editId="54A2EDB7">
            <wp:extent cx="8804262" cy="33395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28985"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8829314" cy="3349050"/>
                    </a:xfrm>
                    <a:prstGeom prst="rect">
                      <a:avLst/>
                    </a:prstGeom>
                    <a:noFill/>
                    <a:ln>
                      <a:noFill/>
                    </a:ln>
                  </pic:spPr>
                </pic:pic>
              </a:graphicData>
            </a:graphic>
          </wp:inline>
        </w:drawing>
      </w:r>
    </w:p>
    <w:p w14:paraId="5778AB44" w14:textId="77777777" w:rsidR="001F5A6F" w:rsidRPr="008166D7" w:rsidRDefault="00813998" w:rsidP="001F5A6F">
      <w:pPr>
        <w:ind w:firstLine="360"/>
        <w:rPr>
          <w:vanish/>
          <w:lang w:val="en-US"/>
        </w:rPr>
      </w:pPr>
      <w:r w:rsidRPr="008166D7">
        <w:rPr>
          <w:vanish/>
          <w:lang w:val="en-US"/>
        </w:rPr>
        <w:t>*</w:t>
      </w:r>
      <w:r w:rsidRPr="008166D7">
        <w:rPr>
          <w:vanish/>
          <w:lang w:val="en-US"/>
        </w:rPr>
        <w:tab/>
        <w:t>Based on monthly consumption of 1,000 kWh for domestic customers and 2,000 kWh for commercial customers.</w:t>
      </w:r>
    </w:p>
    <w:p w14:paraId="11E25434" w14:textId="4B4F2666" w:rsidR="001F5A6F" w:rsidRPr="008166D7" w:rsidRDefault="001F5A6F" w:rsidP="00F30B70">
      <w:pPr>
        <w:pStyle w:val="Corpsdetexte"/>
        <w:numPr>
          <w:ilvl w:val="0"/>
          <w:numId w:val="0"/>
        </w:numPr>
        <w:ind w:left="360"/>
        <w:rPr>
          <w:vanish/>
          <w:lang w:val="en-US"/>
        </w:rPr>
      </w:pPr>
    </w:p>
    <w:p w14:paraId="4A072CAF" w14:textId="77777777" w:rsidR="001F5A6F" w:rsidRPr="008166D7" w:rsidRDefault="001F5A6F" w:rsidP="00F30B70">
      <w:pPr>
        <w:pStyle w:val="Corpsdetexte"/>
        <w:numPr>
          <w:ilvl w:val="0"/>
          <w:numId w:val="0"/>
        </w:numPr>
        <w:ind w:left="360"/>
        <w:rPr>
          <w:vanish/>
          <w:lang w:val="en-US"/>
        </w:rPr>
      </w:pPr>
    </w:p>
    <w:p w14:paraId="325BBD17" w14:textId="77777777" w:rsidR="006456CE" w:rsidRPr="008166D7" w:rsidRDefault="006456CE" w:rsidP="00131D45">
      <w:pPr>
        <w:pStyle w:val="Corpsdetexte"/>
        <w:numPr>
          <w:ilvl w:val="0"/>
          <w:numId w:val="0"/>
        </w:numPr>
        <w:ind w:left="1070"/>
        <w:rPr>
          <w:vanish/>
          <w:lang w:val="en-US"/>
        </w:rPr>
        <w:sectPr w:rsidR="006456CE" w:rsidRPr="008166D7" w:rsidSect="006456CE">
          <w:headerReference w:type="default" r:id="rId34"/>
          <w:pgSz w:w="15840" w:h="12240" w:orient="landscape"/>
          <w:pgMar w:top="1440" w:right="1440" w:bottom="1440" w:left="720" w:header="1526" w:footer="734" w:gutter="0"/>
          <w:cols w:space="720"/>
          <w:docGrid w:linePitch="299"/>
        </w:sectPr>
      </w:pPr>
    </w:p>
    <w:p w14:paraId="7262C89E" w14:textId="013BCE12" w:rsidR="00735221" w:rsidRPr="008166D7" w:rsidRDefault="00813998" w:rsidP="001A4F3B">
      <w:pPr>
        <w:pStyle w:val="Corpsdetexte"/>
        <w:ind w:hanging="530"/>
        <w:rPr>
          <w:vanish/>
          <w:lang w:val="en-US"/>
        </w:rPr>
      </w:pPr>
      <w:r w:rsidRPr="008166D7">
        <w:rPr>
          <w:vanish/>
          <w:lang w:val="en-US"/>
        </w:rPr>
        <w:t>QEC noted that non-government bill increases will be limited to 5.1 per cent. Non</w:t>
      </w:r>
      <w:r w:rsidR="00AC3BFC" w:rsidRPr="008166D7">
        <w:rPr>
          <w:vanish/>
          <w:lang w:val="en-US"/>
        </w:rPr>
        <w:noBreakHyphen/>
      </w:r>
      <w:r w:rsidRPr="008166D7">
        <w:rPr>
          <w:vanish/>
          <w:lang w:val="en-US"/>
        </w:rPr>
        <w:t>government customers receiving a territorial electricity subsidy (assuming no changes to the GN-controlled NESP) will see increases of approximately $11 per month, while those not receiving a subsidy will see decreases in their monthly bills in 23 of the 25 Nunavut communities.</w:t>
      </w:r>
    </w:p>
    <w:p w14:paraId="7262C89F" w14:textId="120BAD40" w:rsidR="00735221" w:rsidRPr="008166D7" w:rsidRDefault="00813998" w:rsidP="001A4F3B">
      <w:pPr>
        <w:pStyle w:val="Corpsdetexte"/>
        <w:ind w:hanging="530"/>
        <w:rPr>
          <w:vanish/>
          <w:lang w:val="en-US"/>
        </w:rPr>
      </w:pPr>
      <w:r w:rsidRPr="008166D7">
        <w:rPr>
          <w:vanish/>
          <w:lang w:val="en-US"/>
        </w:rPr>
        <w:t>QEC noted that non-government commercial customers will see decreases in their monthly bills in all communities except the City of Iqaluit. In the City of Iqaluit, the bill increases will be 4.9 per cent, or approximately $52 per month.</w:t>
      </w:r>
    </w:p>
    <w:p w14:paraId="7262C8A0" w14:textId="171F3CA7" w:rsidR="00F93204" w:rsidRPr="008166D7" w:rsidRDefault="00813998" w:rsidP="001A4F3B">
      <w:pPr>
        <w:pStyle w:val="Corpsdetexte"/>
        <w:ind w:hanging="530"/>
        <w:rPr>
          <w:vanish/>
          <w:lang w:val="en-US"/>
        </w:rPr>
      </w:pPr>
      <w:r w:rsidRPr="008166D7">
        <w:rPr>
          <w:vanish/>
          <w:lang w:val="en-US"/>
        </w:rPr>
        <w:t>QEC submitted that it referred to its cost-of-service (COS) study as an important input to its rate design, however it also considered other economic, policy and administrative objectives. QEC stated its rate design objectives for the 2022/23 GRA were:</w:t>
      </w:r>
    </w:p>
    <w:p w14:paraId="7262C8A2" w14:textId="69AAC7FC" w:rsidR="00F93204" w:rsidRPr="008166D7" w:rsidRDefault="00813998" w:rsidP="000E7326">
      <w:pPr>
        <w:pStyle w:val="Corpsdetexte"/>
        <w:numPr>
          <w:ilvl w:val="1"/>
          <w:numId w:val="7"/>
        </w:numPr>
        <w:ind w:left="1440"/>
        <w:rPr>
          <w:vanish/>
          <w:lang w:val="en-US"/>
        </w:rPr>
      </w:pPr>
      <w:r w:rsidRPr="008166D7">
        <w:rPr>
          <w:vanish/>
          <w:lang w:val="en-US"/>
        </w:rPr>
        <w:t>Rates must be set to recover the revenue requirement of $141.5 million (i.e., revenue requirement of $144.015 less non-electricity revenues of $2.511 million).</w:t>
      </w:r>
    </w:p>
    <w:p w14:paraId="7262C8A3" w14:textId="1FA81C96" w:rsidR="000C5126" w:rsidRPr="008166D7" w:rsidRDefault="00813998" w:rsidP="000E7326">
      <w:pPr>
        <w:pStyle w:val="Corpsdetexte"/>
        <w:numPr>
          <w:ilvl w:val="1"/>
          <w:numId w:val="7"/>
        </w:numPr>
        <w:ind w:left="1440"/>
        <w:rPr>
          <w:vanish/>
        </w:rPr>
      </w:pPr>
      <w:r w:rsidRPr="008166D7">
        <w:rPr>
          <w:vanish/>
        </w:rPr>
        <w:t>Implement Nunavut-wide rates.</w:t>
      </w:r>
    </w:p>
    <w:p w14:paraId="7262C8A4" w14:textId="3214E25B" w:rsidR="000C5126" w:rsidRPr="008166D7" w:rsidRDefault="00813998" w:rsidP="000E7326">
      <w:pPr>
        <w:pStyle w:val="Corpsdetexte"/>
        <w:numPr>
          <w:ilvl w:val="1"/>
          <w:numId w:val="7"/>
        </w:numPr>
        <w:ind w:left="1440"/>
        <w:rPr>
          <w:vanish/>
          <w:lang w:val="en-US"/>
        </w:rPr>
      </w:pPr>
      <w:r w:rsidRPr="008166D7">
        <w:rPr>
          <w:vanish/>
          <w:lang w:val="en-US"/>
        </w:rPr>
        <w:t>Move toward a 95-105 per cent RCC ratio for each rate class.</w:t>
      </w:r>
    </w:p>
    <w:p w14:paraId="7262C8A5" w14:textId="0B7F4EB3" w:rsidR="000C5126" w:rsidRPr="008166D7" w:rsidRDefault="00813998" w:rsidP="000E7326">
      <w:pPr>
        <w:pStyle w:val="Corpsdetexte"/>
        <w:numPr>
          <w:ilvl w:val="1"/>
          <w:numId w:val="7"/>
        </w:numPr>
        <w:ind w:left="1440"/>
        <w:rPr>
          <w:vanish/>
        </w:rPr>
      </w:pPr>
      <w:r w:rsidRPr="008166D7">
        <w:rPr>
          <w:vanish/>
        </w:rPr>
        <w:t>Administrative efficiency.</w:t>
      </w:r>
    </w:p>
    <w:p w14:paraId="7262C8A6" w14:textId="2DFAE6D8" w:rsidR="000C5126" w:rsidRPr="008166D7" w:rsidRDefault="00813998" w:rsidP="000E7326">
      <w:pPr>
        <w:pStyle w:val="Corpsdetexte"/>
        <w:numPr>
          <w:ilvl w:val="1"/>
          <w:numId w:val="7"/>
        </w:numPr>
        <w:ind w:left="1440"/>
        <w:rPr>
          <w:vanish/>
          <w:lang w:val="en-US"/>
        </w:rPr>
      </w:pPr>
      <w:r w:rsidRPr="008166D7">
        <w:rPr>
          <w:vanish/>
          <w:lang w:val="en-US"/>
        </w:rPr>
        <w:t>Focus rate adjustments on the energy portion of the rate.</w:t>
      </w:r>
    </w:p>
    <w:p w14:paraId="7262C8A7" w14:textId="0D76C0B1" w:rsidR="000C5126" w:rsidRPr="008166D7" w:rsidRDefault="00813998" w:rsidP="000E7326">
      <w:pPr>
        <w:pStyle w:val="Corpsdetexte"/>
        <w:numPr>
          <w:ilvl w:val="1"/>
          <w:numId w:val="7"/>
        </w:numPr>
        <w:ind w:left="1440"/>
        <w:rPr>
          <w:vanish/>
          <w:lang w:val="en-US"/>
        </w:rPr>
      </w:pPr>
      <w:r w:rsidRPr="008166D7">
        <w:rPr>
          <w:vanish/>
          <w:lang w:val="en-US"/>
        </w:rPr>
        <w:t>No bill increases to non-government customer classes resulting from transitioning to a Nunavut-wide rate structure.</w:t>
      </w:r>
    </w:p>
    <w:p w14:paraId="7262C8A8" w14:textId="77777777" w:rsidR="000F31C0" w:rsidRPr="008166D7" w:rsidRDefault="00813998" w:rsidP="00C67278">
      <w:pPr>
        <w:pStyle w:val="Corpsdetexte"/>
        <w:ind w:hanging="530"/>
        <w:rPr>
          <w:vanish/>
          <w:lang w:val="en-US"/>
        </w:rPr>
      </w:pPr>
      <w:r w:rsidRPr="008166D7">
        <w:rPr>
          <w:vanish/>
          <w:lang w:val="en-US"/>
        </w:rPr>
        <w:t>QEC submitted that it considered alternative rate structures but it recommended approval of its proposed approach. QEC stated it could be fully implemented independently with respect to existing government subsidy programs and policies and was in compliance with the URRC Act. The proposed approach would also be easier to manage within QEC’s existing billing system, and is easier to understand for QEC customers and staff.</w:t>
      </w:r>
    </w:p>
    <w:p w14:paraId="7262C8AA" w14:textId="20ED7E3E" w:rsidR="00E9304B" w:rsidRPr="008166D7" w:rsidRDefault="00813998" w:rsidP="00C67278">
      <w:pPr>
        <w:pStyle w:val="Corpsdetexte"/>
        <w:ind w:hanging="530"/>
        <w:rPr>
          <w:vanish/>
          <w:lang w:val="en-US"/>
        </w:rPr>
      </w:pPr>
      <w:r w:rsidRPr="008166D7">
        <w:rPr>
          <w:vanish/>
          <w:lang w:val="en-US"/>
        </w:rPr>
        <w:t>QEC provided additional narrative and analysis in support of the rates in the Phase 2 portion of the GRA. The proposed rates and billing impacts are summarized above. The URRC has not repeated all of that material in this report. The rate design will be examined later in this report based on information provided in the Application and responses to URRC IRs.</w:t>
      </w:r>
    </w:p>
    <w:p w14:paraId="5835FF7C" w14:textId="77777777" w:rsidR="00E9304B" w:rsidRPr="008166D7" w:rsidRDefault="00813998">
      <w:pPr>
        <w:rPr>
          <w:vanish/>
          <w:sz w:val="24"/>
          <w:szCs w:val="24"/>
          <w:lang w:val="en-US"/>
        </w:rPr>
      </w:pPr>
      <w:r w:rsidRPr="008166D7">
        <w:rPr>
          <w:vanish/>
          <w:lang w:val="en-US"/>
        </w:rPr>
        <w:br w:type="page"/>
      </w:r>
    </w:p>
    <w:p w14:paraId="7262C8AB" w14:textId="77777777" w:rsidR="009164D9" w:rsidRPr="008166D7" w:rsidRDefault="00813998" w:rsidP="00A20183">
      <w:pPr>
        <w:pStyle w:val="Heading1URRC"/>
        <w:keepNext/>
        <w:keepLines/>
        <w:widowControl/>
        <w:rPr>
          <w:rFonts w:ascii="Times New Roman" w:hAnsi="Times New Roman"/>
          <w:vanish/>
        </w:rPr>
      </w:pPr>
      <w:bookmarkStart w:id="10" w:name="3.0_PROCESS"/>
      <w:bookmarkStart w:id="11" w:name="3.1_MAJOR_OR_MINOR_APPLICATION"/>
      <w:bookmarkStart w:id="12" w:name="3.2_PUBLIC_CONSULTATION_PROCESS"/>
      <w:bookmarkStart w:id="13" w:name="_bookmark2"/>
      <w:bookmarkEnd w:id="10"/>
      <w:bookmarkEnd w:id="11"/>
      <w:bookmarkEnd w:id="12"/>
      <w:bookmarkEnd w:id="13"/>
      <w:r w:rsidRPr="008166D7">
        <w:rPr>
          <w:rFonts w:ascii="Times New Roman" w:hAnsi="Times New Roman"/>
          <w:vanish/>
        </w:rPr>
        <w:t>PROCESS</w:t>
      </w:r>
    </w:p>
    <w:p w14:paraId="7262C8AC" w14:textId="77777777" w:rsidR="009164D9" w:rsidRPr="008166D7" w:rsidRDefault="00813998" w:rsidP="00201676">
      <w:pPr>
        <w:pStyle w:val="Heading2URRC"/>
        <w:rPr>
          <w:rFonts w:ascii="Times New Roman" w:hAnsi="Times New Roman"/>
          <w:vanish/>
        </w:rPr>
      </w:pPr>
      <w:bookmarkStart w:id="14" w:name="_bookmark3"/>
      <w:bookmarkEnd w:id="14"/>
      <w:r w:rsidRPr="008166D7">
        <w:rPr>
          <w:rFonts w:ascii="Times New Roman" w:hAnsi="Times New Roman"/>
          <w:vanish/>
        </w:rPr>
        <w:t>MAJOR OR MINOR APPLICATIONS</w:t>
      </w:r>
    </w:p>
    <w:p w14:paraId="7262C8AD" w14:textId="78C35BDA" w:rsidR="009164D9" w:rsidRPr="008166D7" w:rsidRDefault="00813998" w:rsidP="001A4F3B">
      <w:pPr>
        <w:pStyle w:val="Corpsdetexte"/>
        <w:ind w:hanging="530"/>
        <w:rPr>
          <w:vanish/>
          <w:lang w:val="en-US"/>
        </w:rPr>
      </w:pPr>
      <w:r w:rsidRPr="008166D7">
        <w:rPr>
          <w:vanish/>
          <w:lang w:val="en-US"/>
        </w:rPr>
        <w:t>Under the URRC Act, it is directed that at the sole discretion of the URRC, the URRC shall determine whether an application is either minor or major for the purposes of determining the time required for processing of the application; a minor application provides for a time limit of 90 days for the URRC to report to the responsible Minister while a major application provides a time limit of 150 days. The URRC considered the significant effects on both the revenue requirement and rate design across all of Nunavut proposed in the subject Application, the need for IRs and responses, and the need for submissions from the public. As a result, the URRC determined to treat the Application as a major application.</w:t>
      </w:r>
    </w:p>
    <w:p w14:paraId="7262C8AE" w14:textId="5313262C" w:rsidR="00830A4C" w:rsidRPr="008166D7" w:rsidRDefault="00813998" w:rsidP="001A4F3B">
      <w:pPr>
        <w:pStyle w:val="Corpsdetexte"/>
        <w:ind w:hanging="530"/>
        <w:rPr>
          <w:vanish/>
          <w:lang w:val="en-US"/>
        </w:rPr>
      </w:pPr>
      <w:r w:rsidRPr="008166D7">
        <w:rPr>
          <w:vanish/>
          <w:lang w:val="en-US"/>
        </w:rPr>
        <w:t xml:space="preserve">The </w:t>
      </w:r>
      <w:r w:rsidRPr="008166D7">
        <w:rPr>
          <w:vanish/>
          <w:lang w:val="en-CA" w:eastAsia="en-CA" w:bidi="en-CA"/>
        </w:rPr>
        <w:t>URRC</w:t>
      </w:r>
      <w:r w:rsidRPr="008166D7">
        <w:rPr>
          <w:vanish/>
          <w:lang w:val="en-US"/>
        </w:rPr>
        <w:t xml:space="preserve"> determined that the 150-day deadline for submitting its report to the responsible Minister would be August 19, 2022.</w:t>
      </w:r>
    </w:p>
    <w:p w14:paraId="7262C8AF" w14:textId="40819C1E" w:rsidR="009164D9" w:rsidRPr="008166D7" w:rsidRDefault="00813998" w:rsidP="0029451A">
      <w:pPr>
        <w:pStyle w:val="Heading2URRC"/>
        <w:rPr>
          <w:rFonts w:ascii="Times New Roman" w:hAnsi="Times New Roman"/>
          <w:vanish/>
        </w:rPr>
      </w:pPr>
      <w:bookmarkStart w:id="15" w:name="_bookmark4"/>
      <w:bookmarkEnd w:id="15"/>
      <w:r w:rsidRPr="008166D7">
        <w:rPr>
          <w:rFonts w:ascii="Times New Roman" w:hAnsi="Times New Roman"/>
          <w:vanish/>
        </w:rPr>
        <w:t>PUBLIC PROCESS</w:t>
      </w:r>
    </w:p>
    <w:p w14:paraId="7262C8B0" w14:textId="0B7DA3FD" w:rsidR="009164D9" w:rsidRPr="008166D7" w:rsidRDefault="00813998" w:rsidP="001A4F3B">
      <w:pPr>
        <w:pStyle w:val="Corpsdetexte"/>
        <w:ind w:hanging="530"/>
        <w:rPr>
          <w:vanish/>
          <w:lang w:val="en-US"/>
        </w:rPr>
      </w:pPr>
      <w:r w:rsidRPr="008166D7">
        <w:rPr>
          <w:vanish/>
          <w:lang w:val="en-US"/>
        </w:rPr>
        <w:t>On April 25, 2022, the URRC caused notice of the Application to be provided in each community across Nunavut in accordance with COVID-19 practices used by the GN at that time. A notice of the Application was prepared and distributed to residents and customers in all communities. The notice was read on community radio, and also posted on the URRC website, social media, by letter to each Member of the Legislative Assembly of Nunavut and mayors and senior administrative officers of each hamlet across Nunavut. QEC also made the Application available to the public, as well as public service announcements regarding the Application noting both the opportunity and deadline for making a submission regarding the Application to the URRC.</w:t>
      </w:r>
    </w:p>
    <w:p w14:paraId="7262C8B1" w14:textId="3F0BA117" w:rsidR="00E72FC0" w:rsidRPr="008166D7" w:rsidRDefault="00813998" w:rsidP="001A4F3B">
      <w:pPr>
        <w:pStyle w:val="Corpsdetexte"/>
        <w:ind w:hanging="530"/>
        <w:rPr>
          <w:vanish/>
        </w:rPr>
      </w:pPr>
      <w:r w:rsidRPr="008166D7">
        <w:rPr>
          <w:vanish/>
          <w:lang w:val="en-US"/>
        </w:rPr>
        <w:t xml:space="preserve">The URRC also scheduled public information sessions on May 30 and June 14, 2022, so that QEC could provide a presentation to customers and other interested parties regarding the effects of the GRA. These virtual sessions were conducted using the Zoom video-conferencing platform, so that customers and other interested parties across Nunavut could be informed and have an opportunity to ask questions or state their views (concerns and/or support) about any aspect of the GRA they were interested in. The presentation was also available on the QEC website for reference by the public before and after the sessions. The two sessions were attended by community representatives/officials, non-government customers, and other members of the public. </w:t>
      </w:r>
      <w:r w:rsidRPr="008166D7">
        <w:rPr>
          <w:vanish/>
        </w:rPr>
        <w:t xml:space="preserve">The URRC was in attendance at both sessions. </w:t>
      </w:r>
    </w:p>
    <w:p w14:paraId="7262C8B2" w14:textId="5A1688C5" w:rsidR="009164D9" w:rsidRPr="008166D7" w:rsidRDefault="00813998" w:rsidP="001A4F3B">
      <w:pPr>
        <w:pStyle w:val="Corpsdetexte"/>
        <w:ind w:hanging="530"/>
        <w:rPr>
          <w:vanish/>
          <w:lang w:val="en-US"/>
        </w:rPr>
      </w:pPr>
      <w:r w:rsidRPr="008166D7">
        <w:rPr>
          <w:vanish/>
          <w:lang w:val="en-US"/>
        </w:rPr>
        <w:t xml:space="preserve">The </w:t>
      </w:r>
      <w:r w:rsidRPr="008166D7">
        <w:rPr>
          <w:vanish/>
          <w:lang w:val="en-CA" w:eastAsia="en-CA" w:bidi="en-CA"/>
        </w:rPr>
        <w:t>URRC</w:t>
      </w:r>
      <w:r w:rsidRPr="008166D7">
        <w:rPr>
          <w:vanish/>
          <w:lang w:val="en-US"/>
        </w:rPr>
        <w:t xml:space="preserve"> also provided an opportunity for the public to make written comments respecting the Application by the deadline of June 17, 2022. Public submissions were received from residents, and commercial and government customers. The matters raised in the </w:t>
      </w:r>
      <w:r w:rsidR="00B20D89" w:rsidRPr="008166D7">
        <w:rPr>
          <w:vanish/>
          <w:lang w:val="en-CA" w:eastAsia="en-CA" w:bidi="en-CA"/>
        </w:rPr>
        <w:t>submissions</w:t>
      </w:r>
      <w:r w:rsidR="00B20D89" w:rsidRPr="008166D7">
        <w:rPr>
          <w:vanish/>
          <w:lang w:val="en-US"/>
        </w:rPr>
        <w:t xml:space="preserve"> were addressed by QEC in various responses after they were submitted. The public submissions and QEC’s responses were considered by the URRC in this report.</w:t>
      </w:r>
    </w:p>
    <w:p w14:paraId="7262C8B3" w14:textId="24668DDD" w:rsidR="009164D9" w:rsidRPr="008166D7" w:rsidRDefault="00813998" w:rsidP="001A4F3B">
      <w:pPr>
        <w:pStyle w:val="Corpsdetexte"/>
        <w:ind w:hanging="530"/>
        <w:rPr>
          <w:vanish/>
          <w:lang w:val="en-US"/>
        </w:rPr>
      </w:pPr>
      <w:r w:rsidRPr="008166D7">
        <w:rPr>
          <w:vanish/>
          <w:lang w:val="en-US"/>
        </w:rPr>
        <w:t>The URRC asked for more information from QEC regarding the Application. This was conducted through three rounds of IRs. The URRC asked a number of questions in order to better understand the forecast revenue requirement and the transition to Nunavut-wide rates. The URRC explored the reasonableness of the revenue requirement and the effects of the transition to Nunavut-wide rates on QEC, the municipalities, and its customers. QEC responded to the three rounds of IRs from the URRC on May 17, 2022, June 27, 2022, and July 18, 2022.</w:t>
      </w:r>
    </w:p>
    <w:p w14:paraId="7262C8B4" w14:textId="6104FC51" w:rsidR="00A52BBA" w:rsidRPr="008166D7" w:rsidRDefault="00813998" w:rsidP="00C67278">
      <w:pPr>
        <w:pStyle w:val="Corpsdetexte"/>
        <w:ind w:hanging="530"/>
        <w:rPr>
          <w:vanish/>
          <w:lang w:val="en-US"/>
        </w:rPr>
      </w:pPr>
      <w:r w:rsidRPr="008166D7">
        <w:rPr>
          <w:vanish/>
          <w:lang w:val="en-US"/>
        </w:rPr>
        <w:t>In response to the third round of IRs, QEC provided revised rates for Domestic Government and Commercial Government rate classes that would result from the change of City of Iqaluit accounts to non-government rates. The URRC also noted that four hamlets and the City of Iqaluit were the only municipalities to participate in the public information sessions or provide written submission. The URRC needed to determine if the change to City of Iqaluit accounts would be a significant issue and one which might warrant further process whereby affected hamlets might want to provide further input regarding the GRA. The URRC determined that the proposed change was not significant enough in impact or nature to ratepayers overall to warrant the additional time, effort, cost and delay involved in further process.</w:t>
      </w:r>
      <w:r w:rsidR="004564B9" w:rsidRPr="008166D7">
        <w:rPr>
          <w:vanish/>
          <w:lang w:val="en-US"/>
        </w:rPr>
        <w:br w:type="page"/>
      </w:r>
    </w:p>
    <w:p w14:paraId="7262C8B6" w14:textId="24B0A69D" w:rsidR="009E46FD" w:rsidRPr="008166D7" w:rsidRDefault="00813998" w:rsidP="009D74CB">
      <w:pPr>
        <w:pStyle w:val="Heading1URRC"/>
        <w:rPr>
          <w:rFonts w:ascii="Times New Roman" w:hAnsi="Times New Roman"/>
          <w:vanish/>
        </w:rPr>
      </w:pPr>
      <w:r w:rsidRPr="008166D7">
        <w:rPr>
          <w:rFonts w:ascii="Times New Roman" w:hAnsi="Times New Roman"/>
          <w:vanish/>
        </w:rPr>
        <w:t>PUBLIC SUBMISSION ProcesS</w:t>
      </w:r>
    </w:p>
    <w:p w14:paraId="7262C8B7" w14:textId="663C7C25" w:rsidR="009B49B9" w:rsidRPr="008166D7" w:rsidRDefault="00813998" w:rsidP="00C67278">
      <w:pPr>
        <w:pStyle w:val="Corpsdetexte"/>
        <w:ind w:hanging="530"/>
        <w:rPr>
          <w:vanish/>
          <w:lang w:val="en-US"/>
        </w:rPr>
      </w:pPr>
      <w:r w:rsidRPr="008166D7">
        <w:rPr>
          <w:vanish/>
          <w:lang w:val="en-US"/>
        </w:rPr>
        <w:t xml:space="preserve">The URRC process provided an opportunity for the public to submit their views (concerns or support) on the GRA and allow QEC the opportunity to reply to those concerns. This process took place via oral information sessions and written submissions to the URRC. The URRC’s </w:t>
      </w:r>
      <w:r w:rsidR="00484730" w:rsidRPr="008166D7">
        <w:rPr>
          <w:vanish/>
          <w:lang w:val="en-CA" w:eastAsia="en-CA" w:bidi="en-CA"/>
        </w:rPr>
        <w:t>recommendations in this report to the responsible Minister are made using a fair and open procedure, appropriate to the recommendation being made considering the URRC’s statutory, institutional, and social context, with an opportunity for those affected to put forward their views and have them considered by the URRC.</w:t>
      </w:r>
    </w:p>
    <w:p w14:paraId="7262C8B8" w14:textId="2C8D2C86" w:rsidR="002804F9" w:rsidRPr="008166D7" w:rsidRDefault="00813998" w:rsidP="00C67278">
      <w:pPr>
        <w:pStyle w:val="Corpsdetexte"/>
        <w:ind w:hanging="530"/>
        <w:rPr>
          <w:vanish/>
          <w:lang w:val="en-US"/>
        </w:rPr>
      </w:pPr>
      <w:r w:rsidRPr="008166D7">
        <w:rPr>
          <w:vanish/>
          <w:lang w:val="en-CA" w:eastAsia="en-CA" w:bidi="en-CA"/>
        </w:rPr>
        <w:t xml:space="preserve">The </w:t>
      </w:r>
      <w:r w:rsidRPr="008166D7">
        <w:rPr>
          <w:vanish/>
          <w:lang w:val="en-US"/>
        </w:rPr>
        <w:t>written</w:t>
      </w:r>
      <w:r w:rsidRPr="008166D7">
        <w:rPr>
          <w:vanish/>
          <w:lang w:val="en-CA" w:eastAsia="en-CA" w:bidi="en-CA"/>
        </w:rPr>
        <w:t xml:space="preserve"> public submissions (except for the three submissions from individuals) and the QEC responses to those submissions (except for the responses to individuals) are attached to this report as appendices. The submissions from individuals were not included for privacy reasons.</w:t>
      </w:r>
    </w:p>
    <w:p w14:paraId="7262C8B9" w14:textId="77777777" w:rsidR="009E46FD" w:rsidRPr="008166D7" w:rsidRDefault="00813998" w:rsidP="00C87C38">
      <w:pPr>
        <w:pStyle w:val="Heading2URRC"/>
        <w:rPr>
          <w:rFonts w:ascii="Times New Roman" w:hAnsi="Times New Roman"/>
          <w:vanish/>
        </w:rPr>
      </w:pPr>
      <w:r w:rsidRPr="008166D7">
        <w:rPr>
          <w:rFonts w:ascii="Times New Roman" w:hAnsi="Times New Roman"/>
          <w:vanish/>
        </w:rPr>
        <w:t>PUBLIC SUBMISSIONS</w:t>
      </w:r>
    </w:p>
    <w:p w14:paraId="7262C8BA" w14:textId="56BE1D60" w:rsidR="00695BFF" w:rsidRPr="008166D7" w:rsidRDefault="00813998" w:rsidP="000A5991">
      <w:pPr>
        <w:pStyle w:val="Corpsdetexte"/>
        <w:ind w:hanging="530"/>
        <w:rPr>
          <w:vanish/>
          <w:lang w:val="en-US"/>
        </w:rPr>
      </w:pPr>
      <w:r w:rsidRPr="008166D7">
        <w:rPr>
          <w:vanish/>
          <w:lang w:val="en-US"/>
        </w:rPr>
        <w:t>The URRC received oral submissions from various parties at the information sessions. A representative of the City of Iqaluit commented on the impact the change to Nunavut</w:t>
      </w:r>
      <w:r w:rsidR="00555195" w:rsidRPr="008166D7">
        <w:rPr>
          <w:vanish/>
          <w:lang w:val="en-US"/>
        </w:rPr>
        <w:noBreakHyphen/>
      </w:r>
      <w:r w:rsidR="001A1B6E" w:rsidRPr="008166D7">
        <w:rPr>
          <w:vanish/>
          <w:lang w:val="en-US"/>
        </w:rPr>
        <w:t>wide rates would have on the City of Iqaluit. A representative of GN Climate Change Secretariat noted that fuel prices were likely to increase based on the world fuel situation. The Hamlet of Kimmirut expressed concerns about the potential effects of any rate increases on its residents. A representative of Cambridge Bay mostly commented on aspects of the net metering and CIPP programs with respect to the prices paid for purchased solar power. A representative of the Nunavut Nukkiksautiit Corporation (NNC) expressed concerns about the full phase-in of Nunavut-wide rates and the effects on smaller communities looking to install renewable generation. A representative of NRStor also expressed concerns about the ability of communities to attract renewable energy development.</w:t>
      </w:r>
    </w:p>
    <w:p w14:paraId="7262C8BB" w14:textId="72F4F2EE" w:rsidR="009E46FD" w:rsidRPr="008166D7" w:rsidRDefault="00813998" w:rsidP="00A52BBA">
      <w:pPr>
        <w:pStyle w:val="Corpsdetexte"/>
        <w:ind w:hanging="533"/>
        <w:rPr>
          <w:vanish/>
          <w:lang w:val="en-US"/>
        </w:rPr>
      </w:pPr>
      <w:r w:rsidRPr="008166D7">
        <w:rPr>
          <w:vanish/>
          <w:lang w:val="en-US"/>
        </w:rPr>
        <w:t>The URRC received eight written public submissions regarding the GRA. Three residents</w:t>
      </w:r>
      <w:r w:rsidRPr="008166D7">
        <w:rPr>
          <w:rStyle w:val="Appelnotedebasdep"/>
          <w:b/>
          <w:bCs/>
          <w:vanish/>
          <w:sz w:val="20"/>
          <w:szCs w:val="20"/>
        </w:rPr>
        <w:footnoteReference w:id="4"/>
      </w:r>
      <w:r w:rsidR="003D63F3" w:rsidRPr="008166D7">
        <w:rPr>
          <w:vanish/>
          <w:lang w:val="en-US"/>
        </w:rPr>
        <w:t xml:space="preserve"> (Joel Fortier, Maggie Kingmeatok, and Hazel Turner) expressed concerns about the proposed change to a Nunavut-wide rate, and other affordability and billing matters. Two commercial entities (Iqaluit Chamber of Commerce and the NNC) expressed concerns about the proposed change to a Nunavut-wide rate, and other matters related to the CIPP and independent power producers (IPP) programs that are outside the scope of the GRA. The three remaining submissions were made by the City of Iqaluit, Hamlet of Kinngait and Hamlet of Rankin Inlet.</w:t>
      </w:r>
    </w:p>
    <w:p w14:paraId="7262C8BC" w14:textId="4DCDB90B" w:rsidR="00555B4A" w:rsidRPr="008166D7" w:rsidRDefault="00813998" w:rsidP="009E46FD">
      <w:pPr>
        <w:pStyle w:val="Corpsdetexte"/>
        <w:keepNext/>
        <w:keepLines/>
        <w:ind w:hanging="530"/>
        <w:rPr>
          <w:vanish/>
          <w:lang w:val="en-US"/>
        </w:rPr>
      </w:pPr>
      <w:r w:rsidRPr="008166D7">
        <w:rPr>
          <w:vanish/>
          <w:lang w:val="en-US"/>
        </w:rPr>
        <w:t>The Iqaluit Chamber of Commerce noted that the direct increases in electricity rates to Iqaluit businesses are nominal; however, it was concerned that the 70 per cent increase in municipal/government entities in the City of Iqaluit would be recuperated by increased fees to the business community.</w:t>
      </w:r>
    </w:p>
    <w:p w14:paraId="7262C8BD" w14:textId="1259D252" w:rsidR="0016186E" w:rsidRPr="008166D7" w:rsidRDefault="00813998" w:rsidP="009E46FD">
      <w:pPr>
        <w:pStyle w:val="Corpsdetexte"/>
        <w:keepNext/>
        <w:keepLines/>
        <w:ind w:hanging="530"/>
        <w:rPr>
          <w:vanish/>
          <w:lang w:val="en-US"/>
        </w:rPr>
      </w:pPr>
      <w:r w:rsidRPr="008166D7">
        <w:rPr>
          <w:vanish/>
          <w:lang w:val="en-US"/>
        </w:rPr>
        <w:t>The NNC stated that it did not consider QEC’s reasons for changing to a Nunavut-wide rate to be compelling. The NNC also expressed concerns about district heating and QEC renewable energy programs.</w:t>
      </w:r>
    </w:p>
    <w:p w14:paraId="7262C8BE" w14:textId="06A5A055" w:rsidR="009E46FD" w:rsidRPr="008166D7" w:rsidRDefault="00813998" w:rsidP="009E46FD">
      <w:pPr>
        <w:pStyle w:val="Corpsdetexte"/>
        <w:ind w:hanging="530"/>
        <w:rPr>
          <w:vanish/>
          <w:lang w:val="en-US"/>
        </w:rPr>
      </w:pPr>
      <w:r w:rsidRPr="008166D7">
        <w:rPr>
          <w:vanish/>
          <w:lang w:val="en-US"/>
        </w:rPr>
        <w:t>The City of Iqaluit stated that its concerns related to the change to a Nunavut-wide rate, specifically that commercial government accounts will increase by 71.5 per cent, and non-government residential and commercial rates will increase by 5.1 per cent. The City of Iqaluit noted that the increase in government accounts of $1.335 million will result in an increase in property taxes. The City of Iqaluit noted that it is the only tax</w:t>
      </w:r>
      <w:r w:rsidR="00147034" w:rsidRPr="008166D7">
        <w:rPr>
          <w:vanish/>
          <w:lang w:val="en-US"/>
        </w:rPr>
        <w:noBreakHyphen/>
      </w:r>
      <w:r w:rsidR="00AC417B" w:rsidRPr="008166D7">
        <w:rPr>
          <w:vanish/>
          <w:lang w:val="en-US"/>
        </w:rPr>
        <w:t>based community in Nunavut and that the change to a Nunavut-wide rate will place a significant burden on Iqaluit residents and businesses. The City of Iqaluit requested QEC consider it a non-government commercial entity for the billing purposes due to its unique situation compared to other communities in Nunavut (i.e., its ability to assess property taxes as a source of revenue).</w:t>
      </w:r>
    </w:p>
    <w:p w14:paraId="7262C8BF" w14:textId="756AB471" w:rsidR="009F320B" w:rsidRPr="008166D7" w:rsidRDefault="00813998" w:rsidP="009E46FD">
      <w:pPr>
        <w:pStyle w:val="Corpsdetexte"/>
        <w:ind w:hanging="530"/>
        <w:rPr>
          <w:vanish/>
          <w:lang w:val="en-US"/>
        </w:rPr>
      </w:pPr>
      <w:r w:rsidRPr="008166D7">
        <w:rPr>
          <w:vanish/>
          <w:lang w:val="en-US"/>
        </w:rPr>
        <w:t>The Hamlet of Kinngait submitted it was concerned about the 5.1 per cent increase in rates to its residents. The Hamlet of Kinngait considered the rate increase to be sudden, large, and without explanation.</w:t>
      </w:r>
    </w:p>
    <w:p w14:paraId="7262C8C0" w14:textId="77777777" w:rsidR="009E46FD" w:rsidRPr="008166D7" w:rsidRDefault="00813998" w:rsidP="009E46FD">
      <w:pPr>
        <w:pStyle w:val="Corpsdetexte"/>
        <w:ind w:hanging="530"/>
        <w:rPr>
          <w:vanish/>
          <w:lang w:val="en-US"/>
        </w:rPr>
      </w:pPr>
      <w:r w:rsidRPr="008166D7">
        <w:rPr>
          <w:vanish/>
          <w:lang w:val="en-US"/>
        </w:rPr>
        <w:t>The Hamlet of Rankin Inlet submitted that the change to Nunavut-wide rates would artificially cross-subsidize consumers and no longer reflect the true cost of power in communities. The Hamlet of Rankin Inlet stated it was opposed to QEC’s proposed change to Nunavut-wide rates as it would negatively affect municipal governments and business.</w:t>
      </w:r>
    </w:p>
    <w:p w14:paraId="7262C8C1" w14:textId="77777777" w:rsidR="009E46FD" w:rsidRPr="008166D7" w:rsidRDefault="00813998" w:rsidP="00C87C38">
      <w:pPr>
        <w:pStyle w:val="Heading2URRC"/>
        <w:rPr>
          <w:rFonts w:ascii="Times New Roman" w:hAnsi="Times New Roman"/>
          <w:vanish/>
        </w:rPr>
      </w:pPr>
      <w:r w:rsidRPr="008166D7">
        <w:rPr>
          <w:rFonts w:ascii="Times New Roman" w:hAnsi="Times New Roman"/>
          <w:vanish/>
        </w:rPr>
        <w:t>QEC RESPONSES TO PUBLIC SUBMISSIONS</w:t>
      </w:r>
    </w:p>
    <w:p w14:paraId="7262C8C2" w14:textId="77777777" w:rsidR="009E46FD" w:rsidRPr="008166D7" w:rsidRDefault="00813998" w:rsidP="009E46FD">
      <w:pPr>
        <w:pStyle w:val="Corpsdetexte"/>
        <w:ind w:hanging="530"/>
        <w:rPr>
          <w:vanish/>
          <w:lang w:val="en-US"/>
        </w:rPr>
      </w:pPr>
      <w:r w:rsidRPr="008166D7">
        <w:rPr>
          <w:vanish/>
          <w:lang w:val="en-US"/>
        </w:rPr>
        <w:t>QEC responded to each of the submissions. The responses addressed the various concerns and QEC provided explanations regarding its GRA and the proposed revenue requirement and rate changes. Further, QEC provided bill impact comparisons for each community referred to in the public submissions.</w:t>
      </w:r>
    </w:p>
    <w:p w14:paraId="7262C8C3" w14:textId="09037DB7" w:rsidR="009E46FD" w:rsidRPr="008166D7" w:rsidRDefault="00813998" w:rsidP="009E46FD">
      <w:pPr>
        <w:pStyle w:val="Corpsdetexte"/>
        <w:ind w:hanging="530"/>
        <w:rPr>
          <w:vanish/>
          <w:lang w:val="en-US"/>
        </w:rPr>
      </w:pPr>
      <w:r w:rsidRPr="008166D7">
        <w:rPr>
          <w:vanish/>
          <w:lang w:val="en-US"/>
        </w:rPr>
        <w:t xml:space="preserve">QEC noted that some of the NNC concerns were outside the scope of the GRA, specifically around CIPP and IPP programs, which are under development and will be the subject of a future application. </w:t>
      </w:r>
    </w:p>
    <w:p w14:paraId="7262C8C4" w14:textId="33D6A4FA" w:rsidR="009E46FD" w:rsidRPr="008166D7" w:rsidRDefault="00813998" w:rsidP="00442F35">
      <w:pPr>
        <w:pStyle w:val="Corpsdetexte"/>
        <w:ind w:hanging="530"/>
        <w:rPr>
          <w:vanish/>
          <w:lang w:val="en-US"/>
        </w:rPr>
      </w:pPr>
      <w:r w:rsidRPr="008166D7">
        <w:rPr>
          <w:vanish/>
          <w:lang w:val="en-US"/>
        </w:rPr>
        <w:t>QEC’s response to the City of Iqaluit addressed the various concerns raised. QEC also stated that it supported the City of Iqaluit request to be reclassified as a non</w:t>
      </w:r>
      <w:r w:rsidR="004C41E7" w:rsidRPr="008166D7">
        <w:rPr>
          <w:vanish/>
          <w:lang w:val="en-US"/>
        </w:rPr>
        <w:noBreakHyphen/>
      </w:r>
      <w:r w:rsidR="00442F35" w:rsidRPr="008166D7">
        <w:rPr>
          <w:vanish/>
          <w:lang w:val="en-US"/>
        </w:rPr>
        <w:t>government customer.</w:t>
      </w:r>
    </w:p>
    <w:p w14:paraId="7262C8C6" w14:textId="77777777" w:rsidR="00DD5DBA" w:rsidRPr="008166D7" w:rsidRDefault="00813998" w:rsidP="00F31351">
      <w:pPr>
        <w:pStyle w:val="Heading2URRC"/>
        <w:rPr>
          <w:rFonts w:ascii="Times New Roman" w:hAnsi="Times New Roman"/>
          <w:vanish/>
        </w:rPr>
      </w:pPr>
      <w:r w:rsidRPr="008166D7">
        <w:rPr>
          <w:rFonts w:ascii="Times New Roman" w:hAnsi="Times New Roman"/>
          <w:vanish/>
        </w:rPr>
        <w:t>URRC RESPONSE TO PUBLIC SUBMISSIONS</w:t>
      </w:r>
    </w:p>
    <w:p w14:paraId="7262C8C7" w14:textId="63F35291" w:rsidR="00500861" w:rsidRPr="008166D7" w:rsidRDefault="00813998" w:rsidP="00DD5DBA">
      <w:pPr>
        <w:pStyle w:val="Corpsdetexte"/>
        <w:ind w:hanging="530"/>
        <w:rPr>
          <w:vanish/>
          <w:lang w:val="en-US"/>
        </w:rPr>
      </w:pPr>
      <w:r w:rsidRPr="008166D7">
        <w:rPr>
          <w:vanish/>
          <w:lang w:val="en-US"/>
        </w:rPr>
        <w:t>The URRC notes the public submissions and QEC’s responses. The URRC has considered each of the submissions and the QEC responses when dealing with each component of the GRA. The analysis and recommendation in each section that follows may not specifically mention a public submission or QEC response, however they were considered by the URRC.</w:t>
      </w:r>
    </w:p>
    <w:p w14:paraId="7262C8C8" w14:textId="49D00FE4" w:rsidR="00AE48E4" w:rsidRPr="008166D7" w:rsidRDefault="00813998" w:rsidP="00DD5DBA">
      <w:pPr>
        <w:pStyle w:val="Corpsdetexte"/>
        <w:ind w:hanging="530"/>
        <w:rPr>
          <w:vanish/>
          <w:lang w:val="en-US"/>
        </w:rPr>
      </w:pPr>
      <w:r w:rsidRPr="008166D7">
        <w:rPr>
          <w:vanish/>
          <w:lang w:val="en-CA" w:eastAsia="en-CA" w:bidi="en-CA"/>
        </w:rPr>
        <w:t>The URRC notes that some matters not specifically related to the GRA were raised in the public submissions and will be addressed in Section 6.9 of this report.</w:t>
      </w:r>
    </w:p>
    <w:p w14:paraId="7262C8C9" w14:textId="77777777" w:rsidR="00E500DE" w:rsidRPr="008166D7" w:rsidRDefault="00813998" w:rsidP="00DD5DBA">
      <w:pPr>
        <w:pStyle w:val="Corpsdetexte"/>
        <w:ind w:hanging="530"/>
        <w:rPr>
          <w:vanish/>
          <w:lang w:val="en-US"/>
        </w:rPr>
      </w:pPr>
      <w:r w:rsidRPr="008166D7">
        <w:rPr>
          <w:vanish/>
          <w:lang w:val="en-US"/>
        </w:rPr>
        <w:t>The URRC thanks residents, commercial and government entities for taking the time to participate in information sessions and make submissions. The URRC also thanks QEC for its responses to those submissions. This extra input was of assistance to the URRC in its analysis and informed its recommendations.</w:t>
      </w:r>
    </w:p>
    <w:p w14:paraId="7262C8CA" w14:textId="77777777" w:rsidR="00DD5DBA" w:rsidRPr="008166D7" w:rsidRDefault="00DD5DBA" w:rsidP="00DD5DBA">
      <w:pPr>
        <w:rPr>
          <w:vanish/>
          <w:lang w:val="en-US"/>
        </w:rPr>
        <w:sectPr w:rsidR="00DD5DBA" w:rsidRPr="008166D7" w:rsidSect="00B1338B">
          <w:headerReference w:type="default" r:id="rId35"/>
          <w:pgSz w:w="12240" w:h="15840"/>
          <w:pgMar w:top="1440" w:right="1440" w:bottom="720" w:left="1440" w:header="1526" w:footer="720" w:gutter="0"/>
          <w:cols w:space="720"/>
          <w:docGrid w:linePitch="299"/>
        </w:sectPr>
      </w:pPr>
    </w:p>
    <w:p w14:paraId="7262C8CB" w14:textId="77777777" w:rsidR="009164D9" w:rsidRPr="008166D7" w:rsidRDefault="00813998" w:rsidP="0091378D">
      <w:pPr>
        <w:pStyle w:val="Heading1URRC"/>
        <w:rPr>
          <w:rFonts w:ascii="Times New Roman" w:hAnsi="Times New Roman"/>
        </w:rPr>
      </w:pPr>
      <w:bookmarkStart w:id="16" w:name="4.0_EXAMINATION_OF_THE_APPLICATION"/>
      <w:bookmarkStart w:id="17" w:name="4.1_NEED_FOR_THE_PROJECT"/>
      <w:bookmarkStart w:id="18" w:name="_bookmark5"/>
      <w:bookmarkEnd w:id="16"/>
      <w:bookmarkEnd w:id="17"/>
      <w:bookmarkEnd w:id="18"/>
      <w:r w:rsidRPr="008166D7">
        <w:rPr>
          <w:rFonts w:ascii="Times New Roman" w:eastAsia="Gadugi" w:hAnsi="Times New Roman"/>
          <w:lang w:bidi="fr-CA"/>
        </w:rPr>
        <w:t>EXAMEN DE LA DEMANDE</w:t>
      </w:r>
    </w:p>
    <w:p w14:paraId="7262C8CC" w14:textId="77777777" w:rsidR="00264D01" w:rsidRPr="008166D7" w:rsidRDefault="00813998" w:rsidP="0091378D">
      <w:pPr>
        <w:pStyle w:val="Heading2URRC"/>
        <w:rPr>
          <w:rFonts w:ascii="Times New Roman" w:hAnsi="Times New Roman"/>
        </w:rPr>
      </w:pPr>
      <w:r w:rsidRPr="008166D7">
        <w:rPr>
          <w:rFonts w:ascii="Times New Roman" w:eastAsia="Gadugi" w:hAnsi="Times New Roman"/>
          <w:lang w:bidi="fr-CA"/>
        </w:rPr>
        <w:t>PRÉVISIONS RELATIVES AUX REVENUS (VENTES et NON-VENTES) ET À LA PRODUCTION</w:t>
      </w:r>
    </w:p>
    <w:p w14:paraId="7262C8CD" w14:textId="55DD73D9" w:rsidR="00FE28E1" w:rsidRPr="008166D7" w:rsidRDefault="00813998" w:rsidP="00FE28E1">
      <w:pPr>
        <w:pStyle w:val="Corpsdetexte"/>
        <w:ind w:hanging="530"/>
      </w:pPr>
      <w:r w:rsidRPr="008166D7">
        <w:rPr>
          <w:rFonts w:eastAsia="Gadugi"/>
          <w:lang w:bidi="fr-CA"/>
        </w:rPr>
        <w:t>Le CETES indique que la SÉQ a résumé les principaux changements apportés aux installations et les méthodes de prévision pour 2022-2023. La SÉQ a indiqué les ventes, les revenus, les pertes en ligne, les besoins de production et les besoins en combustible à l</w:t>
      </w:r>
      <w:r w:rsidR="00296C2D">
        <w:rPr>
          <w:rFonts w:eastAsia="Gadugi"/>
          <w:lang w:bidi="fr-CA"/>
        </w:rPr>
        <w:t>’</w:t>
      </w:r>
      <w:r w:rsidRPr="008166D7">
        <w:rPr>
          <w:rFonts w:eastAsia="Gadugi"/>
          <w:lang w:bidi="fr-CA"/>
        </w:rPr>
        <w:t>échelle de l</w:t>
      </w:r>
      <w:r w:rsidR="00296C2D">
        <w:rPr>
          <w:rFonts w:eastAsia="Gadugi"/>
          <w:lang w:bidi="fr-CA"/>
        </w:rPr>
        <w:t>’</w:t>
      </w:r>
      <w:r w:rsidRPr="008166D7">
        <w:rPr>
          <w:rFonts w:eastAsia="Gadugi"/>
          <w:lang w:bidi="fr-CA"/>
        </w:rPr>
        <w:t>entreprise dans l</w:t>
      </w:r>
      <w:r w:rsidR="00296C2D">
        <w:rPr>
          <w:rFonts w:eastAsia="Gadugi"/>
          <w:lang w:bidi="fr-CA"/>
        </w:rPr>
        <w:t>’</w:t>
      </w:r>
      <w:r w:rsidRPr="008166D7">
        <w:rPr>
          <w:rFonts w:eastAsia="Gadugi"/>
          <w:lang w:bidi="fr-CA"/>
        </w:rPr>
        <w:t>annexe 3.1 de la demande. La SÉQ a également fourni des détails pour chacune des 25 collectivités à l’annexe A de la demande.</w:t>
      </w:r>
    </w:p>
    <w:p w14:paraId="7262C8CE" w14:textId="707DD990" w:rsidR="001808A1" w:rsidRPr="008166D7" w:rsidRDefault="00813998" w:rsidP="001A4F3B">
      <w:pPr>
        <w:pStyle w:val="Corpsdetexte"/>
        <w:ind w:hanging="530"/>
      </w:pPr>
      <w:r w:rsidRPr="008166D7">
        <w:rPr>
          <w:rFonts w:eastAsia="Gadugi"/>
          <w:lang w:bidi="fr-CA"/>
        </w:rPr>
        <w:t>Le CETES indique que la SÉQ a prévu une augmentation des ventes dans la plupart des collectivités, mais que cette augmentation a été partiellement contrebalancée par une diminution des ventes dans la ville d</w:t>
      </w:r>
      <w:r w:rsidR="00296C2D">
        <w:rPr>
          <w:rFonts w:eastAsia="Gadugi"/>
          <w:lang w:bidi="fr-CA"/>
        </w:rPr>
        <w:t>’</w:t>
      </w:r>
      <w:r w:rsidRPr="008166D7">
        <w:rPr>
          <w:rFonts w:eastAsia="Gadugi"/>
          <w:lang w:bidi="fr-CA"/>
        </w:rPr>
        <w:t>Iqaluit et par une diminution des ventes de lampadaires (en raison du programme de conversion au DEL).</w:t>
      </w:r>
    </w:p>
    <w:p w14:paraId="7262C8CF" w14:textId="59745C8C" w:rsidR="00391885" w:rsidRPr="008166D7" w:rsidRDefault="00813998" w:rsidP="001A4F3B">
      <w:pPr>
        <w:pStyle w:val="Corpsdetexte"/>
        <w:ind w:hanging="530"/>
      </w:pPr>
      <w:r w:rsidRPr="008166D7">
        <w:rPr>
          <w:rFonts w:eastAsia="Gadugi"/>
          <w:lang w:bidi="fr-CA"/>
        </w:rPr>
        <w:t>Dans l</w:t>
      </w:r>
      <w:r w:rsidR="00296C2D">
        <w:rPr>
          <w:rFonts w:eastAsia="Gadugi"/>
          <w:lang w:bidi="fr-CA"/>
        </w:rPr>
        <w:t>’</w:t>
      </w:r>
      <w:r w:rsidRPr="008166D7">
        <w:rPr>
          <w:rFonts w:eastAsia="Gadugi"/>
          <w:lang w:bidi="fr-CA"/>
        </w:rPr>
        <w:t>ensemble, le CETES indique que le taux de croissance prévu semble être raisonnable si l</w:t>
      </w:r>
      <w:r w:rsidR="00296C2D">
        <w:rPr>
          <w:rFonts w:eastAsia="Gadugi"/>
          <w:lang w:bidi="fr-CA"/>
        </w:rPr>
        <w:t>’</w:t>
      </w:r>
      <w:r w:rsidRPr="008166D7">
        <w:rPr>
          <w:rFonts w:eastAsia="Gadugi"/>
          <w:lang w:bidi="fr-CA"/>
        </w:rPr>
        <w:t>on se base sur une comparaison d</w:t>
      </w:r>
      <w:r w:rsidR="00296C2D">
        <w:rPr>
          <w:rFonts w:eastAsia="Gadugi"/>
          <w:lang w:bidi="fr-CA"/>
        </w:rPr>
        <w:t>’</w:t>
      </w:r>
      <w:r w:rsidRPr="008166D7">
        <w:rPr>
          <w:rFonts w:eastAsia="Gadugi"/>
          <w:lang w:bidi="fr-CA"/>
        </w:rPr>
        <w:t>une année à l</w:t>
      </w:r>
      <w:r w:rsidR="00296C2D">
        <w:rPr>
          <w:rFonts w:eastAsia="Gadugi"/>
          <w:lang w:bidi="fr-CA"/>
        </w:rPr>
        <w:t>’</w:t>
      </w:r>
      <w:r w:rsidRPr="008166D7">
        <w:rPr>
          <w:rFonts w:eastAsia="Gadugi"/>
          <w:lang w:bidi="fr-CA"/>
        </w:rPr>
        <w:t>autre au total et par collectivité depuis la RMTG de 2018-2019. Un taux de croissance annuel moyen de 0,6 % depuis la RMTG de 2018-2019 semble correspondre aux informations sur la croissance démographique fournies dans les récentes demandes de permis pour la réalisation de grands projets (DPPM). Le CETES indique que les informations sur la population ont été référencées, mais n’ont pas été fourni</w:t>
      </w:r>
      <w:r w:rsidR="008166D7">
        <w:rPr>
          <w:rFonts w:eastAsia="Gadugi"/>
          <w:lang w:bidi="fr-CA"/>
        </w:rPr>
        <w:t>e</w:t>
      </w:r>
      <w:r w:rsidRPr="008166D7">
        <w:rPr>
          <w:rFonts w:eastAsia="Gadugi"/>
          <w:lang w:bidi="fr-CA"/>
        </w:rPr>
        <w:t>s dans la demande.</w:t>
      </w:r>
    </w:p>
    <w:p w14:paraId="7262C8D0" w14:textId="4465A25F" w:rsidR="003A110C" w:rsidRPr="008166D7" w:rsidRDefault="00813998" w:rsidP="001A4F3B">
      <w:pPr>
        <w:pStyle w:val="Corpsdetexte"/>
        <w:ind w:hanging="530"/>
      </w:pPr>
      <w:r w:rsidRPr="008166D7">
        <w:rPr>
          <w:rFonts w:eastAsia="Gadugi"/>
          <w:lang w:bidi="fr-CA"/>
        </w:rPr>
        <w:t xml:space="preserve">Le CETES indique également que les restrictions liées à la COVID-19 en 2020, 2021 et 2022 peuvent être </w:t>
      </w:r>
      <w:r w:rsidRPr="008166D7">
        <w:rPr>
          <w:rFonts w:eastAsia="Gadugi"/>
          <w:lang w:bidi="fr-CA"/>
        </w:rPr>
        <w:br/>
        <w:t>à l’origine d’une certaine incertitude dans les tendances ou l</w:t>
      </w:r>
      <w:r w:rsidR="00296C2D">
        <w:rPr>
          <w:rFonts w:eastAsia="Gadugi"/>
          <w:lang w:bidi="fr-CA"/>
        </w:rPr>
        <w:t>’</w:t>
      </w:r>
      <w:r w:rsidRPr="008166D7">
        <w:rPr>
          <w:rFonts w:eastAsia="Gadugi"/>
          <w:lang w:bidi="fr-CA"/>
        </w:rPr>
        <w:t>analyse des données réelles utilisées pour produire les prévisions pour 2022-2023.</w:t>
      </w:r>
    </w:p>
    <w:p w14:paraId="7262C8D1" w14:textId="77777777" w:rsidR="003A110C" w:rsidRPr="008166D7" w:rsidRDefault="00813998" w:rsidP="001A4F3B">
      <w:pPr>
        <w:pStyle w:val="Corpsdetexte"/>
        <w:ind w:hanging="530"/>
      </w:pPr>
      <w:r w:rsidRPr="008166D7">
        <w:rPr>
          <w:rFonts w:eastAsia="Gadugi"/>
          <w:lang w:bidi="fr-CA"/>
        </w:rPr>
        <w:t>L’examen des ventes et de la production du CETES était principalement fondée sur les grandes catégories utilisées dans la demande.</w:t>
      </w:r>
    </w:p>
    <w:p w14:paraId="7262C8D2" w14:textId="77777777" w:rsidR="004D0777" w:rsidRPr="008166D7" w:rsidRDefault="00813998" w:rsidP="00F202B1">
      <w:pPr>
        <w:pStyle w:val="Heading3URRC"/>
        <w:rPr>
          <w:rFonts w:ascii="Times New Roman" w:hAnsi="Times New Roman"/>
        </w:rPr>
      </w:pPr>
      <w:r w:rsidRPr="008166D7">
        <w:rPr>
          <w:rFonts w:ascii="Times New Roman" w:eastAsia="Gadugi" w:hAnsi="Times New Roman"/>
          <w:lang w:bidi="fr-CA"/>
        </w:rPr>
        <w:lastRenderedPageBreak/>
        <w:t>VENTES PAR CLASSE DE TARIFICATION ET VENTES TOTALES</w:t>
      </w:r>
    </w:p>
    <w:p w14:paraId="7262C8D3" w14:textId="02D9030A" w:rsidR="004C2FAA" w:rsidRPr="008166D7" w:rsidRDefault="00813998" w:rsidP="00C67278">
      <w:pPr>
        <w:pStyle w:val="Corpsdetexte"/>
        <w:ind w:hanging="530"/>
      </w:pPr>
      <w:r w:rsidRPr="008166D7">
        <w:rPr>
          <w:rFonts w:eastAsia="Gadugi"/>
          <w:lang w:bidi="fr-CA"/>
        </w:rPr>
        <w:t>Le CETES indique que la SÉQ élabore ses prévisions de charges en utilisant un processus en deux étapes. Les prévisions de charges de base sont élaborées à l</w:t>
      </w:r>
      <w:r w:rsidR="00296C2D">
        <w:rPr>
          <w:rFonts w:eastAsia="Gadugi"/>
          <w:lang w:bidi="fr-CA"/>
        </w:rPr>
        <w:t>’</w:t>
      </w:r>
      <w:r w:rsidRPr="008166D7">
        <w:rPr>
          <w:rFonts w:eastAsia="Gadugi"/>
          <w:lang w:bidi="fr-CA"/>
        </w:rPr>
        <w:t>aide des prévisions relatives aux clients et des prévisions de l</w:t>
      </w:r>
      <w:r w:rsidR="00296C2D">
        <w:rPr>
          <w:rFonts w:eastAsia="Gadugi"/>
          <w:lang w:bidi="fr-CA"/>
        </w:rPr>
        <w:t>’</w:t>
      </w:r>
      <w:r w:rsidRPr="008166D7">
        <w:rPr>
          <w:rFonts w:eastAsia="Gadugi"/>
          <w:lang w:bidi="fr-CA"/>
        </w:rPr>
        <w:t>utilisation par client, et sont modifiées après examen de tout changement de charge connu ou raisonnablement prévu dans une collectivité.</w:t>
      </w:r>
    </w:p>
    <w:p w14:paraId="7262C8D4" w14:textId="227ABF85" w:rsidR="004C2FAA" w:rsidRPr="008166D7" w:rsidRDefault="00813998" w:rsidP="00C67278">
      <w:pPr>
        <w:pStyle w:val="Corpsdetexte"/>
        <w:ind w:hanging="530"/>
      </w:pPr>
      <w:r w:rsidRPr="008166D7">
        <w:rPr>
          <w:rFonts w:eastAsia="Gadugi"/>
          <w:lang w:bidi="fr-CA"/>
        </w:rPr>
        <w:t>Le CETES indique que la SÉQ a suivi les méthodes approuvées précédemment et qu</w:t>
      </w:r>
      <w:r w:rsidR="00296C2D">
        <w:rPr>
          <w:rFonts w:eastAsia="Gadugi"/>
          <w:lang w:bidi="fr-CA"/>
        </w:rPr>
        <w:t>’</w:t>
      </w:r>
      <w:r w:rsidRPr="008166D7">
        <w:rPr>
          <w:rFonts w:eastAsia="Gadugi"/>
          <w:lang w:bidi="fr-CA"/>
        </w:rPr>
        <w:t>aucune modification n</w:t>
      </w:r>
      <w:r w:rsidR="00296C2D">
        <w:rPr>
          <w:rFonts w:eastAsia="Gadugi"/>
          <w:lang w:bidi="fr-CA"/>
        </w:rPr>
        <w:t>’</w:t>
      </w:r>
      <w:r w:rsidRPr="008166D7">
        <w:rPr>
          <w:rFonts w:eastAsia="Gadugi"/>
          <w:lang w:bidi="fr-CA"/>
        </w:rPr>
        <w:t>a été effectuée pour les prévisions de 2022-2023. La seule exception concernait le calcul de la prévision de l’utilisation par client, pour lequel la SÉQ a fait valoir que la déformation de la consommation d</w:t>
      </w:r>
      <w:r w:rsidR="00296C2D">
        <w:rPr>
          <w:rFonts w:eastAsia="Gadugi"/>
          <w:lang w:bidi="fr-CA"/>
        </w:rPr>
        <w:t>’</w:t>
      </w:r>
      <w:r w:rsidRPr="008166D7">
        <w:rPr>
          <w:rFonts w:eastAsia="Gadugi"/>
          <w:lang w:bidi="fr-CA"/>
        </w:rPr>
        <w:t>énergie normale en 2019-2020 était exclue (la SÉQ a précisé qu</w:t>
      </w:r>
      <w:r w:rsidR="00296C2D">
        <w:rPr>
          <w:rFonts w:eastAsia="Gadugi"/>
          <w:lang w:bidi="fr-CA"/>
        </w:rPr>
        <w:t>’</w:t>
      </w:r>
      <w:r w:rsidRPr="008166D7">
        <w:rPr>
          <w:rFonts w:eastAsia="Gadugi"/>
          <w:lang w:bidi="fr-CA"/>
        </w:rPr>
        <w:t>elle avait remarqué une utilisation par client anormalement élevée dans de nombreuses collectivités en 2019-2020).</w:t>
      </w:r>
    </w:p>
    <w:p w14:paraId="7262C8D5" w14:textId="05BB12F5" w:rsidR="004C2FAA" w:rsidRPr="008166D7" w:rsidRDefault="00813998" w:rsidP="00C67278">
      <w:pPr>
        <w:pStyle w:val="Corpsdetexte"/>
        <w:ind w:hanging="530"/>
      </w:pPr>
      <w:r w:rsidRPr="008166D7">
        <w:rPr>
          <w:rFonts w:eastAsia="Gadugi"/>
          <w:lang w:bidi="fr-CA"/>
        </w:rPr>
        <w:t>Le CETES est généralement satisfait que les prévisions des ventes pour 2022-2023 ont été élaborées conformément à la RMTG précédente et qu</w:t>
      </w:r>
      <w:r w:rsidR="00296C2D">
        <w:rPr>
          <w:rFonts w:eastAsia="Gadugi"/>
          <w:lang w:bidi="fr-CA"/>
        </w:rPr>
        <w:t>’</w:t>
      </w:r>
      <w:r w:rsidRPr="008166D7">
        <w:rPr>
          <w:rFonts w:eastAsia="Gadugi"/>
          <w:lang w:bidi="fr-CA"/>
        </w:rPr>
        <w:t xml:space="preserve">elles sont raisonnables. Cependant, le CETES a formulé des remarques et des recommandations concernant les prévisions relatives aux clients et la prévision de l’utilisation par client. </w:t>
      </w:r>
    </w:p>
    <w:p w14:paraId="7262C8D6" w14:textId="77777777" w:rsidR="00DB7F46" w:rsidRPr="008166D7" w:rsidRDefault="00813998" w:rsidP="00DB7F46">
      <w:pPr>
        <w:pStyle w:val="Heading3URRC"/>
        <w:rPr>
          <w:rFonts w:ascii="Times New Roman" w:hAnsi="Times New Roman"/>
        </w:rPr>
      </w:pPr>
      <w:r w:rsidRPr="008166D7">
        <w:rPr>
          <w:rFonts w:ascii="Times New Roman" w:eastAsia="Gadugi" w:hAnsi="Times New Roman"/>
          <w:lang w:bidi="fr-CA"/>
        </w:rPr>
        <w:t>PRÉVISIONS RELATIVES AUX CLIENTS</w:t>
      </w:r>
    </w:p>
    <w:p w14:paraId="7262C8D8" w14:textId="526DE0BB" w:rsidR="00F83D1E" w:rsidRPr="008166D7" w:rsidRDefault="00813998" w:rsidP="001A4F3B">
      <w:pPr>
        <w:pStyle w:val="Corpsdetexte"/>
        <w:ind w:hanging="530"/>
      </w:pPr>
      <w:r w:rsidRPr="008166D7">
        <w:rPr>
          <w:rFonts w:eastAsia="Gadugi"/>
          <w:lang w:bidi="fr-CA"/>
        </w:rPr>
        <w:t>La SÉQ a indiqué qu</w:t>
      </w:r>
      <w:r w:rsidR="00296C2D">
        <w:rPr>
          <w:rFonts w:eastAsia="Gadugi"/>
          <w:lang w:bidi="fr-CA"/>
        </w:rPr>
        <w:t>’</w:t>
      </w:r>
      <w:r w:rsidRPr="008166D7">
        <w:rPr>
          <w:rFonts w:eastAsia="Gadugi"/>
          <w:lang w:bidi="fr-CA"/>
        </w:rPr>
        <w:t>elle a élaboré ses prévisions relatives aux clients tel que décrit aux pages 3-10 et 3</w:t>
      </w:r>
      <w:r w:rsidR="00C74AF3" w:rsidRPr="008166D7">
        <w:rPr>
          <w:rFonts w:eastAsia="Gadugi"/>
          <w:lang w:bidi="fr-CA"/>
        </w:rPr>
        <w:noBreakHyphen/>
      </w:r>
      <w:r w:rsidRPr="008166D7">
        <w:rPr>
          <w:rFonts w:eastAsia="Gadugi"/>
          <w:lang w:bidi="fr-CA"/>
        </w:rPr>
        <w:t xml:space="preserve">11 de la demande. Des prévisions distinctes pour les clients résidentiels et commerciaux </w:t>
      </w:r>
      <w:r w:rsidR="00AD7DDC">
        <w:rPr>
          <w:rFonts w:eastAsia="Gadugi"/>
          <w:lang w:bidi="fr-CA"/>
        </w:rPr>
        <w:t>ont</w:t>
      </w:r>
      <w:r w:rsidRPr="008166D7">
        <w:rPr>
          <w:rFonts w:eastAsia="Gadugi"/>
          <w:lang w:bidi="fr-CA"/>
        </w:rPr>
        <w:t xml:space="preserve"> été préparée</w:t>
      </w:r>
      <w:r w:rsidR="00AD7DDC">
        <w:rPr>
          <w:rFonts w:eastAsia="Gadugi"/>
          <w:lang w:bidi="fr-CA"/>
        </w:rPr>
        <w:t>s</w:t>
      </w:r>
      <w:r w:rsidRPr="008166D7">
        <w:rPr>
          <w:rFonts w:eastAsia="Gadugi"/>
          <w:lang w:bidi="fr-CA"/>
        </w:rPr>
        <w:t xml:space="preserve"> pour chaque collectivité. Le CETES indique qu</w:t>
      </w:r>
      <w:r w:rsidR="00296C2D">
        <w:rPr>
          <w:rFonts w:eastAsia="Gadugi"/>
          <w:lang w:bidi="fr-CA"/>
        </w:rPr>
        <w:t>’</w:t>
      </w:r>
      <w:r w:rsidRPr="008166D7">
        <w:rPr>
          <w:rFonts w:eastAsia="Gadugi"/>
          <w:lang w:bidi="fr-CA"/>
        </w:rPr>
        <w:t>il n</w:t>
      </w:r>
      <w:r w:rsidR="00296C2D">
        <w:rPr>
          <w:rFonts w:eastAsia="Gadugi"/>
          <w:lang w:bidi="fr-CA"/>
        </w:rPr>
        <w:t>’</w:t>
      </w:r>
      <w:r w:rsidRPr="008166D7">
        <w:rPr>
          <w:rFonts w:eastAsia="Gadugi"/>
          <w:lang w:bidi="fr-CA"/>
        </w:rPr>
        <w:t>a aucune visibilité sur les clients mensuels, les informations sur la population sur lesquelles le CETES s</w:t>
      </w:r>
      <w:r w:rsidR="00296C2D">
        <w:rPr>
          <w:rFonts w:eastAsia="Gadugi"/>
          <w:lang w:bidi="fr-CA"/>
        </w:rPr>
        <w:t>’</w:t>
      </w:r>
      <w:r w:rsidRPr="008166D7">
        <w:rPr>
          <w:rFonts w:eastAsia="Gadugi"/>
          <w:lang w:bidi="fr-CA"/>
        </w:rPr>
        <w:t>est appuyé, ou les autres facteurs qui ont été pris en compte.</w:t>
      </w:r>
    </w:p>
    <w:p w14:paraId="7262C8D9" w14:textId="032F44AC" w:rsidR="00DB7F46" w:rsidRPr="008166D7" w:rsidRDefault="00813998" w:rsidP="00DB7F46">
      <w:pPr>
        <w:pStyle w:val="Corpsdetexte"/>
        <w:ind w:hanging="530"/>
      </w:pPr>
      <w:r w:rsidRPr="008166D7">
        <w:rPr>
          <w:rFonts w:eastAsia="Gadugi"/>
          <w:lang w:bidi="fr-CA"/>
        </w:rPr>
        <w:t>Le CETES indique que les méthodes prévisionnelles relatives aux clients de la SÉQ sont relativement simples, puisqu</w:t>
      </w:r>
      <w:r w:rsidR="00296C2D">
        <w:rPr>
          <w:rFonts w:eastAsia="Gadugi"/>
          <w:lang w:bidi="fr-CA"/>
        </w:rPr>
        <w:t>’</w:t>
      </w:r>
      <w:r w:rsidRPr="008166D7">
        <w:rPr>
          <w:rFonts w:eastAsia="Gadugi"/>
          <w:lang w:bidi="fr-CA"/>
        </w:rPr>
        <w:t xml:space="preserve">elles utilisent des données réelles sur les clients et les projections démographiques du Bureau des statistiques du Nunavut. Tant que les collectivités et les classes tarifaires sont cohérentes, et que les prévisions restent </w:t>
      </w:r>
      <w:r w:rsidRPr="008166D7">
        <w:rPr>
          <w:rFonts w:eastAsia="Gadugi"/>
          <w:lang w:bidi="fr-CA"/>
        </w:rPr>
        <w:lastRenderedPageBreak/>
        <w:t>relativement précises, le CETES voit peu de raisons de recommander des changements dans les prévisions relatives à la demande de base des clients.</w:t>
      </w:r>
    </w:p>
    <w:p w14:paraId="7262C8DA" w14:textId="31925366" w:rsidR="009A2CFF" w:rsidRPr="008166D7" w:rsidRDefault="00813998" w:rsidP="001A4F3B">
      <w:pPr>
        <w:pStyle w:val="Corpsdetexte"/>
        <w:ind w:hanging="530"/>
      </w:pPr>
      <w:r w:rsidRPr="008166D7">
        <w:rPr>
          <w:rFonts w:eastAsia="Gadugi"/>
          <w:lang w:bidi="fr-CA"/>
        </w:rPr>
        <w:t>Le CETES recommande que dans les futures RMTG, la SÉQ fournisse plus d</w:t>
      </w:r>
      <w:r w:rsidR="00296C2D">
        <w:rPr>
          <w:rFonts w:eastAsia="Gadugi"/>
          <w:lang w:bidi="fr-CA"/>
        </w:rPr>
        <w:t>’</w:t>
      </w:r>
      <w:r w:rsidRPr="008166D7">
        <w:rPr>
          <w:rFonts w:eastAsia="Gadugi"/>
          <w:lang w:bidi="fr-CA"/>
        </w:rPr>
        <w:t>informations sur les autres facteurs qu</w:t>
      </w:r>
      <w:r w:rsidR="00296C2D">
        <w:rPr>
          <w:rFonts w:eastAsia="Gadugi"/>
          <w:lang w:bidi="fr-CA"/>
        </w:rPr>
        <w:t>’</w:t>
      </w:r>
      <w:r w:rsidRPr="008166D7">
        <w:rPr>
          <w:rFonts w:eastAsia="Gadugi"/>
          <w:lang w:bidi="fr-CA"/>
        </w:rPr>
        <w:t>elle a examinés pour déterminer si des changements ont été pris en compte et/ou apportés aux prévisions relatives à la demande de base des clients pour toute collectivité.</w:t>
      </w:r>
    </w:p>
    <w:p w14:paraId="7262C8DB"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UTILISATION PAR CLIENT</w:t>
      </w:r>
    </w:p>
    <w:p w14:paraId="7262C8DD" w14:textId="0406B317" w:rsidR="004C2FAA" w:rsidRPr="008166D7" w:rsidRDefault="00813998" w:rsidP="004C2FAA">
      <w:pPr>
        <w:pStyle w:val="Corpsdetexte"/>
        <w:ind w:hanging="530"/>
      </w:pPr>
      <w:r w:rsidRPr="008166D7">
        <w:rPr>
          <w:rFonts w:eastAsia="Gadugi"/>
          <w:lang w:bidi="fr-CA"/>
        </w:rPr>
        <w:t>La SÉQ a indiqué qu</w:t>
      </w:r>
      <w:r w:rsidR="00296C2D">
        <w:rPr>
          <w:rFonts w:eastAsia="Gadugi"/>
          <w:lang w:bidi="fr-CA"/>
        </w:rPr>
        <w:t>’</w:t>
      </w:r>
      <w:r w:rsidRPr="008166D7">
        <w:rPr>
          <w:rFonts w:eastAsia="Gadugi"/>
          <w:lang w:bidi="fr-CA"/>
        </w:rPr>
        <w:t>elle a élaboré ses prévisions relatives à l’utilisation par client comme il est décrit aux pages 3-11 et 3</w:t>
      </w:r>
      <w:r w:rsidR="00C07E39" w:rsidRPr="008166D7">
        <w:rPr>
          <w:rFonts w:eastAsia="Gadugi"/>
          <w:lang w:bidi="fr-CA"/>
        </w:rPr>
        <w:noBreakHyphen/>
      </w:r>
      <w:r w:rsidRPr="008166D7">
        <w:rPr>
          <w:rFonts w:eastAsia="Gadugi"/>
          <w:lang w:bidi="fr-CA"/>
        </w:rPr>
        <w:t>12 de la demande. Des prévisions distinctes de l’utilisation par client pour les clients résidentiels et commerciaux ont été élaborées pour chaque collectivité. Le CETES indique qu</w:t>
      </w:r>
      <w:r w:rsidR="00296C2D">
        <w:rPr>
          <w:rFonts w:eastAsia="Gadugi"/>
          <w:lang w:bidi="fr-CA"/>
        </w:rPr>
        <w:t>’</w:t>
      </w:r>
      <w:r w:rsidRPr="008166D7">
        <w:rPr>
          <w:rFonts w:eastAsia="Gadugi"/>
          <w:lang w:bidi="fr-CA"/>
        </w:rPr>
        <w:t>il n</w:t>
      </w:r>
      <w:r w:rsidR="00296C2D">
        <w:rPr>
          <w:rFonts w:eastAsia="Gadugi"/>
          <w:lang w:bidi="fr-CA"/>
        </w:rPr>
        <w:t>’</w:t>
      </w:r>
      <w:r w:rsidRPr="008166D7">
        <w:rPr>
          <w:rFonts w:eastAsia="Gadugi"/>
          <w:lang w:bidi="fr-CA"/>
        </w:rPr>
        <w:t>a aucune visibilité des renseignements sur lesquels la SÉQ s</w:t>
      </w:r>
      <w:r w:rsidR="00296C2D">
        <w:rPr>
          <w:rFonts w:eastAsia="Gadugi"/>
          <w:lang w:bidi="fr-CA"/>
        </w:rPr>
        <w:t>’</w:t>
      </w:r>
      <w:r w:rsidRPr="008166D7">
        <w:rPr>
          <w:rFonts w:eastAsia="Gadugi"/>
          <w:lang w:bidi="fr-CA"/>
        </w:rPr>
        <w:t>est appuyée (autres que ceux fournis dans l</w:t>
      </w:r>
      <w:r w:rsidR="00296C2D">
        <w:rPr>
          <w:rFonts w:eastAsia="Gadugi"/>
          <w:lang w:bidi="fr-CA"/>
        </w:rPr>
        <w:t>’</w:t>
      </w:r>
      <w:r w:rsidRPr="008166D7">
        <w:rPr>
          <w:rFonts w:eastAsia="Gadugi"/>
          <w:lang w:bidi="fr-CA"/>
        </w:rPr>
        <w:t>annexe A de la demande), ou des autres facteurs qui ont été pris en compte.</w:t>
      </w:r>
    </w:p>
    <w:p w14:paraId="7262C8DE" w14:textId="45931FB5" w:rsidR="004C2FAA" w:rsidRPr="008166D7" w:rsidRDefault="00813998" w:rsidP="004C2FAA">
      <w:pPr>
        <w:pStyle w:val="Corpsdetexte"/>
        <w:ind w:hanging="530"/>
      </w:pPr>
      <w:r w:rsidRPr="008166D7">
        <w:rPr>
          <w:rFonts w:eastAsia="Gadugi"/>
          <w:lang w:bidi="fr-CA"/>
        </w:rPr>
        <w:t>Dans la DI URRC</w:t>
      </w:r>
      <w:r w:rsidR="00B94B30" w:rsidRPr="008166D7">
        <w:rPr>
          <w:rFonts w:eastAsia="Gadugi"/>
          <w:lang w:bidi="fr-CA"/>
        </w:rPr>
        <w:noBreakHyphen/>
      </w:r>
      <w:r w:rsidRPr="008166D7">
        <w:rPr>
          <w:rFonts w:eastAsia="Gadugi"/>
          <w:lang w:bidi="fr-CA"/>
        </w:rPr>
        <w:t>QEC-1-8, l’URRC a demandé à obtenir de plus amples renseignements sur l’utilisation par client. La SÉQ a justifié sa méthode de prévision dans sa réponse en soulignant que ses prévisions de ventes pour chaque année de 2017-2018 à 2019-2020 se situaient à moins d</w:t>
      </w:r>
      <w:r w:rsidR="00296C2D">
        <w:rPr>
          <w:rFonts w:eastAsia="Gadugi"/>
          <w:lang w:bidi="fr-CA"/>
        </w:rPr>
        <w:t>’</w:t>
      </w:r>
      <w:r w:rsidRPr="008166D7">
        <w:rPr>
          <w:rFonts w:eastAsia="Gadugi"/>
          <w:lang w:bidi="fr-CA"/>
        </w:rPr>
        <w:t>un pour cent des ventes réelles pour ces années. Le CETES estime qu</w:t>
      </w:r>
      <w:r w:rsidR="00296C2D">
        <w:rPr>
          <w:rFonts w:eastAsia="Gadugi"/>
          <w:lang w:bidi="fr-CA"/>
        </w:rPr>
        <w:t>’</w:t>
      </w:r>
      <w:r w:rsidRPr="008166D7">
        <w:rPr>
          <w:rFonts w:eastAsia="Gadugi"/>
          <w:lang w:bidi="fr-CA"/>
        </w:rPr>
        <w:t>il serait utile que la SÉQ fournisse une analyse ou des informations quantitatives pour mieux comprendre le caractère sensible des différents facteurs de l</w:t>
      </w:r>
      <w:r w:rsidR="00296C2D">
        <w:rPr>
          <w:rFonts w:eastAsia="Gadugi"/>
          <w:lang w:bidi="fr-CA"/>
        </w:rPr>
        <w:t>’</w:t>
      </w:r>
      <w:r w:rsidRPr="008166D7">
        <w:rPr>
          <w:rFonts w:eastAsia="Gadugi"/>
          <w:lang w:bidi="fr-CA"/>
        </w:rPr>
        <w:t>utilisation par client, en plus de la simple méthode de la moyenne annuelle historique sur laquelle elle s</w:t>
      </w:r>
      <w:r w:rsidR="00296C2D">
        <w:rPr>
          <w:rFonts w:eastAsia="Gadugi"/>
          <w:lang w:bidi="fr-CA"/>
        </w:rPr>
        <w:t>’</w:t>
      </w:r>
      <w:r w:rsidRPr="008166D7">
        <w:rPr>
          <w:rFonts w:eastAsia="Gadugi"/>
          <w:lang w:bidi="fr-CA"/>
        </w:rPr>
        <w:t>est appuyée.</w:t>
      </w:r>
    </w:p>
    <w:p w14:paraId="7262C8DF" w14:textId="4CC17EF0" w:rsidR="00C30AA9" w:rsidRPr="008166D7" w:rsidRDefault="00813998" w:rsidP="004C2FAA">
      <w:pPr>
        <w:pStyle w:val="Corpsdetexte"/>
        <w:ind w:hanging="530"/>
      </w:pPr>
      <w:r w:rsidRPr="008166D7">
        <w:rPr>
          <w:rFonts w:eastAsia="Gadugi"/>
          <w:lang w:bidi="fr-CA"/>
        </w:rPr>
        <w:t>Le CETES reconna</w:t>
      </w:r>
      <w:r w:rsidR="00AD7DDC">
        <w:rPr>
          <w:rFonts w:eastAsia="Gadugi"/>
          <w:lang w:bidi="fr-CA"/>
        </w:rPr>
        <w:t>i</w:t>
      </w:r>
      <w:r w:rsidRPr="008166D7">
        <w:rPr>
          <w:rFonts w:eastAsia="Gadugi"/>
          <w:lang w:bidi="fr-CA"/>
        </w:rPr>
        <w:t>t que tant que les clients de la SÉQ continuent à utiliser l</w:t>
      </w:r>
      <w:r w:rsidR="00296C2D">
        <w:rPr>
          <w:rFonts w:eastAsia="Gadugi"/>
          <w:lang w:bidi="fr-CA"/>
        </w:rPr>
        <w:t>’</w:t>
      </w:r>
      <w:r w:rsidRPr="008166D7">
        <w:rPr>
          <w:rFonts w:eastAsia="Gadugi"/>
          <w:lang w:bidi="fr-CA"/>
        </w:rPr>
        <w:t>électricité de manière stable et prévisible, sa méthode de prévision est suffisante. Toutefois, il serait utile de comprendre quels sont les impacts des conditions météorologiques, de la construction des bâtiments, de la taille des bâtiments, du nombre d</w:t>
      </w:r>
      <w:r w:rsidR="00296C2D">
        <w:rPr>
          <w:rFonts w:eastAsia="Gadugi"/>
          <w:lang w:bidi="fr-CA"/>
        </w:rPr>
        <w:t>’</w:t>
      </w:r>
      <w:r w:rsidRPr="008166D7">
        <w:rPr>
          <w:rFonts w:eastAsia="Gadugi"/>
          <w:lang w:bidi="fr-CA"/>
        </w:rPr>
        <w:t>occupants, des économies d</w:t>
      </w:r>
      <w:r w:rsidR="00296C2D">
        <w:rPr>
          <w:rFonts w:eastAsia="Gadugi"/>
          <w:lang w:bidi="fr-CA"/>
        </w:rPr>
        <w:t>’</w:t>
      </w:r>
      <w:r w:rsidRPr="008166D7">
        <w:rPr>
          <w:rFonts w:eastAsia="Gadugi"/>
          <w:lang w:bidi="fr-CA"/>
        </w:rPr>
        <w:t>énergie, des initiatives de travail à domicile, du chauffage urbain ou d</w:t>
      </w:r>
      <w:r w:rsidR="00296C2D">
        <w:rPr>
          <w:rFonts w:eastAsia="Gadugi"/>
          <w:lang w:bidi="fr-CA"/>
        </w:rPr>
        <w:t>’</w:t>
      </w:r>
      <w:r w:rsidRPr="008166D7">
        <w:rPr>
          <w:rFonts w:eastAsia="Gadugi"/>
          <w:lang w:bidi="fr-CA"/>
        </w:rPr>
        <w:t>autres facteurs sur la consommation d</w:t>
      </w:r>
      <w:r w:rsidR="00296C2D">
        <w:rPr>
          <w:rFonts w:eastAsia="Gadugi"/>
          <w:lang w:bidi="fr-CA"/>
        </w:rPr>
        <w:t>’</w:t>
      </w:r>
      <w:r w:rsidRPr="008166D7">
        <w:rPr>
          <w:rFonts w:eastAsia="Gadugi"/>
          <w:lang w:bidi="fr-CA"/>
        </w:rPr>
        <w:t>électricité au Nunavut. Si la SÉQ disposait d</w:t>
      </w:r>
      <w:r w:rsidR="00296C2D">
        <w:rPr>
          <w:rFonts w:eastAsia="Gadugi"/>
          <w:lang w:bidi="fr-CA"/>
        </w:rPr>
        <w:t>’</w:t>
      </w:r>
      <w:r w:rsidRPr="008166D7">
        <w:rPr>
          <w:rFonts w:eastAsia="Gadugi"/>
          <w:lang w:bidi="fr-CA"/>
        </w:rPr>
        <w:t xml:space="preserve">informations complémentaires, celles-ci pourraient également faciliter toute décision visant à séparer davantage les classes tarifaires en fonction du type ou de la taille du </w:t>
      </w:r>
      <w:r w:rsidRPr="008166D7">
        <w:rPr>
          <w:rFonts w:eastAsia="Gadugi"/>
          <w:lang w:bidi="fr-CA"/>
        </w:rPr>
        <w:lastRenderedPageBreak/>
        <w:t>client. Par exemple, certains clients résidentiels ou commerciaux n</w:t>
      </w:r>
      <w:r w:rsidR="00296C2D">
        <w:rPr>
          <w:rFonts w:eastAsia="Gadugi"/>
          <w:lang w:bidi="fr-CA"/>
        </w:rPr>
        <w:t>’</w:t>
      </w:r>
      <w:r w:rsidRPr="008166D7">
        <w:rPr>
          <w:rFonts w:eastAsia="Gadugi"/>
          <w:lang w:bidi="fr-CA"/>
        </w:rPr>
        <w:t>ont pas les mêmes caractéristiques et/ou la même consommation d</w:t>
      </w:r>
      <w:r w:rsidR="00296C2D">
        <w:rPr>
          <w:rFonts w:eastAsia="Gadugi"/>
          <w:lang w:bidi="fr-CA"/>
        </w:rPr>
        <w:t>’</w:t>
      </w:r>
      <w:r w:rsidRPr="008166D7">
        <w:rPr>
          <w:rFonts w:eastAsia="Gadugi"/>
          <w:lang w:bidi="fr-CA"/>
        </w:rPr>
        <w:t>électricité. De plus, s</w:t>
      </w:r>
      <w:r w:rsidR="00296C2D">
        <w:rPr>
          <w:rFonts w:eastAsia="Gadugi"/>
          <w:lang w:bidi="fr-CA"/>
        </w:rPr>
        <w:t>’</w:t>
      </w:r>
      <w:r w:rsidRPr="008166D7">
        <w:rPr>
          <w:rFonts w:eastAsia="Gadugi"/>
          <w:lang w:bidi="fr-CA"/>
        </w:rPr>
        <w:t>il est clair que la pandémie de la COVID-19 a perturbé la consommation résidentielle et commerciale d</w:t>
      </w:r>
      <w:r w:rsidR="00296C2D">
        <w:rPr>
          <w:rFonts w:eastAsia="Gadugi"/>
          <w:lang w:bidi="fr-CA"/>
        </w:rPr>
        <w:t>’</w:t>
      </w:r>
      <w:r w:rsidRPr="008166D7">
        <w:rPr>
          <w:rFonts w:eastAsia="Gadugi"/>
          <w:lang w:bidi="fr-CA"/>
        </w:rPr>
        <w:t>électricité, mais on ne sait pas exactement dans quelle mesure. Bien qu’il soit compréhensible Si on peut parfaitement comprendre que les clients commerciaux aient été touchés par les arrêts et les fermetures, il est moins évident de savoir quel</w:t>
      </w:r>
      <w:r w:rsidR="00AD7DDC">
        <w:rPr>
          <w:rFonts w:eastAsia="Gadugi"/>
          <w:lang w:bidi="fr-CA"/>
        </w:rPr>
        <w:t>le</w:t>
      </w:r>
      <w:r w:rsidRPr="008166D7">
        <w:rPr>
          <w:rFonts w:eastAsia="Gadugi"/>
          <w:lang w:bidi="fr-CA"/>
        </w:rPr>
        <w:t xml:space="preserve">s ont été les répercussions de la COVID-19 sur les clients résidentiels. </w:t>
      </w:r>
    </w:p>
    <w:p w14:paraId="7262C8E0" w14:textId="7CE6991A" w:rsidR="004C2FAA" w:rsidRPr="008166D7" w:rsidRDefault="00813998" w:rsidP="004C2FAA">
      <w:pPr>
        <w:pStyle w:val="Corpsdetexte"/>
        <w:ind w:hanging="530"/>
      </w:pPr>
      <w:r w:rsidRPr="008166D7">
        <w:rPr>
          <w:rFonts w:eastAsia="Gadugi"/>
          <w:lang w:bidi="fr-CA"/>
        </w:rPr>
        <w:t>Pour l</w:t>
      </w:r>
      <w:r w:rsidR="00296C2D">
        <w:rPr>
          <w:rFonts w:eastAsia="Gadugi"/>
          <w:lang w:bidi="fr-CA"/>
        </w:rPr>
        <w:t>’</w:t>
      </w:r>
      <w:r w:rsidRPr="008166D7">
        <w:rPr>
          <w:rFonts w:eastAsia="Gadugi"/>
          <w:lang w:bidi="fr-CA"/>
        </w:rPr>
        <w:t>instant, le CETES ne sait pas exactement quels sont les facteurs déterminants de l</w:t>
      </w:r>
      <w:r w:rsidR="00296C2D">
        <w:rPr>
          <w:rFonts w:eastAsia="Gadugi"/>
          <w:lang w:bidi="fr-CA"/>
        </w:rPr>
        <w:t>’</w:t>
      </w:r>
      <w:r w:rsidRPr="008166D7">
        <w:rPr>
          <w:rFonts w:eastAsia="Gadugi"/>
          <w:lang w:bidi="fr-CA"/>
        </w:rPr>
        <w:t>utilisation par client et/ou comment les quantifier. Le CETES recommande que dans la prochaine RMTG, la SÉQ fournisse une analyse ou une évaluation quantitative plus détaillée des facteurs qui ont une incidence sur l</w:t>
      </w:r>
      <w:r w:rsidR="00296C2D">
        <w:rPr>
          <w:rFonts w:eastAsia="Gadugi"/>
          <w:lang w:bidi="fr-CA"/>
        </w:rPr>
        <w:t>’</w:t>
      </w:r>
      <w:r w:rsidRPr="008166D7">
        <w:rPr>
          <w:rFonts w:eastAsia="Gadugi"/>
          <w:lang w:bidi="fr-CA"/>
        </w:rPr>
        <w:t>utilisation par client.</w:t>
      </w:r>
    </w:p>
    <w:p w14:paraId="7262C8E1" w14:textId="5E1786D1"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PRÉVISIONS DES VENTES DE LAMPADAIRES</w:t>
      </w:r>
    </w:p>
    <w:p w14:paraId="7262C8E3" w14:textId="38D047AC" w:rsidR="007D47DE" w:rsidRPr="008166D7" w:rsidRDefault="00813998" w:rsidP="00C67278">
      <w:pPr>
        <w:pStyle w:val="Corpsdetexte"/>
        <w:ind w:hanging="530"/>
      </w:pPr>
      <w:r w:rsidRPr="008166D7">
        <w:rPr>
          <w:rFonts w:eastAsia="Gadugi"/>
          <w:lang w:bidi="fr-CA"/>
        </w:rPr>
        <w:t>La SÉQ a indiqué qu</w:t>
      </w:r>
      <w:r w:rsidR="00296C2D">
        <w:rPr>
          <w:rFonts w:eastAsia="Gadugi"/>
          <w:lang w:bidi="fr-CA"/>
        </w:rPr>
        <w:t>’</w:t>
      </w:r>
      <w:r w:rsidRPr="008166D7">
        <w:rPr>
          <w:rFonts w:eastAsia="Gadugi"/>
          <w:lang w:bidi="fr-CA"/>
        </w:rPr>
        <w:t>elle a élaboré ses prévisions relatives aux ventes de lampadaires tel que décrit à la page 3-12 de la demande. Les ventes réelles de l</w:t>
      </w:r>
      <w:r w:rsidR="00296C2D">
        <w:rPr>
          <w:rFonts w:eastAsia="Gadugi"/>
          <w:lang w:bidi="fr-CA"/>
        </w:rPr>
        <w:t>’</w:t>
      </w:r>
      <w:r w:rsidRPr="008166D7">
        <w:rPr>
          <w:rFonts w:eastAsia="Gadugi"/>
          <w:lang w:bidi="fr-CA"/>
        </w:rPr>
        <w:t>année la plus récente ont constitué les prévisions de charges de base, qui ont été revues et modifiées pour tenir compte des changements dans le nombre de lampadaires ou les types de lampadaires.</w:t>
      </w:r>
    </w:p>
    <w:p w14:paraId="7262C8E4" w14:textId="6CA2B867" w:rsidR="004C2FAA" w:rsidRPr="008166D7" w:rsidRDefault="00813998" w:rsidP="004C2FAA">
      <w:pPr>
        <w:pStyle w:val="Corpsdetexte"/>
        <w:ind w:hanging="530"/>
      </w:pPr>
      <w:r w:rsidRPr="008166D7">
        <w:rPr>
          <w:rFonts w:eastAsia="Gadugi"/>
          <w:lang w:bidi="fr-CA"/>
        </w:rPr>
        <w:t>Le CETES indique que les prévisions étaient basées sur une méthode quantifiable utilisant le nombre et le type de lampadaires dans chaque collectivité. Le CETES indique, d</w:t>
      </w:r>
      <w:r w:rsidR="00296C2D">
        <w:rPr>
          <w:rFonts w:eastAsia="Gadugi"/>
          <w:lang w:bidi="fr-CA"/>
        </w:rPr>
        <w:t>’</w:t>
      </w:r>
      <w:r w:rsidRPr="008166D7">
        <w:rPr>
          <w:rFonts w:eastAsia="Gadugi"/>
          <w:lang w:bidi="fr-CA"/>
        </w:rPr>
        <w:t>après les réponses à ses demandes d</w:t>
      </w:r>
      <w:r w:rsidR="00296C2D">
        <w:rPr>
          <w:rFonts w:eastAsia="Gadugi"/>
          <w:lang w:bidi="fr-CA"/>
        </w:rPr>
        <w:t>’</w:t>
      </w:r>
      <w:r w:rsidRPr="008166D7">
        <w:rPr>
          <w:rFonts w:eastAsia="Gadugi"/>
          <w:lang w:bidi="fr-CA"/>
        </w:rPr>
        <w:t>information (DI), que le remplacement des ampoules de lampadaires conventionnelles par des lampadaires au DEL se poursuit et que les recettes des ventes de lampadaires ont diminué depuis 2018-2019.</w:t>
      </w:r>
    </w:p>
    <w:p w14:paraId="7262C8E5" w14:textId="61D298FD" w:rsidR="004C2FAA" w:rsidRPr="008166D7" w:rsidRDefault="00813998" w:rsidP="004C2FAA">
      <w:pPr>
        <w:pStyle w:val="Corpsdetexte"/>
        <w:ind w:hanging="530"/>
      </w:pPr>
      <w:r w:rsidRPr="008166D7">
        <w:rPr>
          <w:rFonts w:eastAsia="Gadugi"/>
          <w:lang w:bidi="fr-CA"/>
        </w:rPr>
        <w:t>Le CETES estime que les prévisions pour 2022-2023 sont, dans l</w:t>
      </w:r>
      <w:r w:rsidR="00296C2D">
        <w:rPr>
          <w:rFonts w:eastAsia="Gadugi"/>
          <w:lang w:bidi="fr-CA"/>
        </w:rPr>
        <w:t>’</w:t>
      </w:r>
      <w:r w:rsidRPr="008166D7">
        <w:rPr>
          <w:rFonts w:eastAsia="Gadugi"/>
          <w:lang w:bidi="fr-CA"/>
        </w:rPr>
        <w:t>ensemble, raisonnables malgré cet impact.</w:t>
      </w:r>
    </w:p>
    <w:p w14:paraId="7262C8E6"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PRÉVISIONS RELATIVES À LA PRODUCTION</w:t>
      </w:r>
    </w:p>
    <w:p w14:paraId="7262C8E8" w14:textId="1CFBB6C2" w:rsidR="000A35F6" w:rsidRPr="008166D7" w:rsidRDefault="00813998" w:rsidP="004C2FAA">
      <w:pPr>
        <w:pStyle w:val="Corpsdetexte"/>
        <w:ind w:hanging="530"/>
      </w:pPr>
      <w:r w:rsidRPr="008166D7">
        <w:rPr>
          <w:rFonts w:eastAsia="Gadugi"/>
          <w:lang w:bidi="fr-CA"/>
        </w:rPr>
        <w:t>La SÉQ a fait valoir que ses prévisions relatives à la production de 2022-2023, présentées à l</w:t>
      </w:r>
      <w:r w:rsidR="00296C2D">
        <w:rPr>
          <w:rFonts w:eastAsia="Gadugi"/>
          <w:lang w:bidi="fr-CA"/>
        </w:rPr>
        <w:t>’</w:t>
      </w:r>
      <w:r w:rsidRPr="008166D7">
        <w:rPr>
          <w:rFonts w:eastAsia="Gadugi"/>
          <w:lang w:bidi="fr-CA"/>
        </w:rPr>
        <w:t>annexe 3.1 de la demande, ont été élaborées à l</w:t>
      </w:r>
      <w:r w:rsidR="00296C2D">
        <w:rPr>
          <w:rFonts w:eastAsia="Gadugi"/>
          <w:lang w:bidi="fr-CA"/>
        </w:rPr>
        <w:t>’</w:t>
      </w:r>
      <w:r w:rsidRPr="008166D7">
        <w:rPr>
          <w:rFonts w:eastAsia="Gadugi"/>
          <w:lang w:bidi="fr-CA"/>
        </w:rPr>
        <w:t xml:space="preserve">aide de méthodes de prévision approuvées antérieurement. Les prévisions relatives à la production sont </w:t>
      </w:r>
      <w:r w:rsidRPr="008166D7">
        <w:rPr>
          <w:rFonts w:eastAsia="Gadugi"/>
          <w:lang w:bidi="fr-CA"/>
        </w:rPr>
        <w:lastRenderedPageBreak/>
        <w:t>élaborées en se basant sur la somme des ventes, les pannes de réseau et la consommation des auxiliaires. Les ventes ont été prévues tel qu’indiqué dans les sections précédentes du présent rapport. Les pannes de réseau et la consommation des auxiliaires ont été estimées en utilisant un pourcentage moyen réel des ventes sur cinq ans. Le SÉQ a exclu 2019-2020 en raison d</w:t>
      </w:r>
      <w:r w:rsidR="00296C2D">
        <w:rPr>
          <w:rFonts w:eastAsia="Gadugi"/>
          <w:lang w:bidi="fr-CA"/>
        </w:rPr>
        <w:t>’</w:t>
      </w:r>
      <w:r w:rsidRPr="008166D7">
        <w:rPr>
          <w:rFonts w:eastAsia="Gadugi"/>
          <w:lang w:bidi="fr-CA"/>
        </w:rPr>
        <w:t>une utilisation par client anormalement élevée dans de nombreuses collectivités. Le taux prévu de 3,1 % de la consommation des auxiliaires pour 2022-2023 était légèrement inférieur au taux prévu de 3,3 % en 2018-2019, mais reste inchangé par rapport au taux réel de 2018-2019. Le taux prévu de 4,6 % des pannes de réseau pour 2022-2023 était légèrement supérieur à celui de 4,2 % prévu en 2018-2019, mais inférieur au taux réel de 4,7 %.</w:t>
      </w:r>
    </w:p>
    <w:p w14:paraId="7262C8E9" w14:textId="3974EDAE" w:rsidR="004C2FAA" w:rsidRPr="008166D7" w:rsidRDefault="00813998" w:rsidP="004C2FAA">
      <w:pPr>
        <w:pStyle w:val="Corpsdetexte"/>
        <w:ind w:hanging="530"/>
      </w:pPr>
      <w:r w:rsidRPr="008166D7">
        <w:rPr>
          <w:rFonts w:eastAsia="Gadugi"/>
          <w:lang w:bidi="fr-CA"/>
        </w:rPr>
        <w:t>La SÉQ a également présenté ses besoins en combustible pour 2022-2023 dans l</w:t>
      </w:r>
      <w:r w:rsidR="00296C2D">
        <w:rPr>
          <w:rFonts w:eastAsia="Gadugi"/>
          <w:lang w:bidi="fr-CA"/>
        </w:rPr>
        <w:t>’</w:t>
      </w:r>
      <w:r w:rsidRPr="008166D7">
        <w:rPr>
          <w:rFonts w:eastAsia="Gadugi"/>
          <w:lang w:bidi="fr-CA"/>
        </w:rPr>
        <w:t>annexe</w:t>
      </w:r>
      <w:r w:rsidR="00296C2D">
        <w:rPr>
          <w:rFonts w:eastAsia="Gadugi"/>
          <w:lang w:bidi="fr-CA"/>
        </w:rPr>
        <w:t> </w:t>
      </w:r>
      <w:r w:rsidRPr="008166D7">
        <w:rPr>
          <w:rFonts w:eastAsia="Gadugi"/>
          <w:lang w:bidi="fr-CA"/>
        </w:rPr>
        <w:t>3.1 de la demande. Les besoins en combustible ont été basés sur l</w:t>
      </w:r>
      <w:r w:rsidR="00296C2D">
        <w:rPr>
          <w:rFonts w:eastAsia="Gadugi"/>
          <w:lang w:bidi="fr-CA"/>
        </w:rPr>
        <w:t>’</w:t>
      </w:r>
      <w:r w:rsidRPr="008166D7">
        <w:rPr>
          <w:rFonts w:eastAsia="Gadugi"/>
          <w:lang w:bidi="fr-CA"/>
        </w:rPr>
        <w:t>efficacité énergétique prévue pour chaque collectivité en utilisant une moyenne pondérée sur trois ans, tel que décrit à la page</w:t>
      </w:r>
      <w:r w:rsidR="00296C2D">
        <w:rPr>
          <w:rFonts w:eastAsia="Gadugi"/>
          <w:lang w:bidi="fr-CA"/>
        </w:rPr>
        <w:t> </w:t>
      </w:r>
      <w:r w:rsidRPr="008166D7">
        <w:rPr>
          <w:rFonts w:eastAsia="Gadugi"/>
          <w:lang w:bidi="fr-CA"/>
        </w:rPr>
        <w:t>3-13 de la demande. L</w:t>
      </w:r>
      <w:r w:rsidR="00296C2D">
        <w:rPr>
          <w:rFonts w:eastAsia="Gadugi"/>
          <w:lang w:bidi="fr-CA"/>
        </w:rPr>
        <w:t>’</w:t>
      </w:r>
      <w:r w:rsidRPr="008166D7">
        <w:rPr>
          <w:rFonts w:eastAsia="Gadugi"/>
          <w:lang w:bidi="fr-CA"/>
        </w:rPr>
        <w:t>année où l</w:t>
      </w:r>
      <w:r w:rsidR="00296C2D">
        <w:rPr>
          <w:rFonts w:eastAsia="Gadugi"/>
          <w:lang w:bidi="fr-CA"/>
        </w:rPr>
        <w:t>’</w:t>
      </w:r>
      <w:r w:rsidRPr="008166D7">
        <w:rPr>
          <w:rFonts w:eastAsia="Gadugi"/>
          <w:lang w:bidi="fr-CA"/>
        </w:rPr>
        <w:t>efficience énergétique est la plus élevée reçoit une pondération de trois, l</w:t>
      </w:r>
      <w:r w:rsidR="00296C2D">
        <w:rPr>
          <w:rFonts w:eastAsia="Gadugi"/>
          <w:lang w:bidi="fr-CA"/>
        </w:rPr>
        <w:t>’</w:t>
      </w:r>
      <w:r w:rsidRPr="008166D7">
        <w:rPr>
          <w:rFonts w:eastAsia="Gadugi"/>
          <w:lang w:bidi="fr-CA"/>
        </w:rPr>
        <w:t>année qui vient ensuite reçoit une pondération de deux, et l</w:t>
      </w:r>
      <w:r w:rsidR="00296C2D">
        <w:rPr>
          <w:rFonts w:eastAsia="Gadugi"/>
          <w:lang w:bidi="fr-CA"/>
        </w:rPr>
        <w:t>’</w:t>
      </w:r>
      <w:r w:rsidRPr="008166D7">
        <w:rPr>
          <w:rFonts w:eastAsia="Gadugi"/>
          <w:lang w:bidi="fr-CA"/>
        </w:rPr>
        <w:t xml:space="preserve">année la plus faible reçoit une pondération </w:t>
      </w:r>
      <w:proofErr w:type="gramStart"/>
      <w:r w:rsidRPr="008166D7">
        <w:rPr>
          <w:rFonts w:eastAsia="Gadugi"/>
          <w:lang w:bidi="fr-CA"/>
        </w:rPr>
        <w:t>de un</w:t>
      </w:r>
      <w:proofErr w:type="gramEnd"/>
      <w:r w:rsidRPr="008166D7">
        <w:rPr>
          <w:rFonts w:eastAsia="Gadugi"/>
          <w:lang w:bidi="fr-CA"/>
        </w:rPr>
        <w:t>.</w:t>
      </w:r>
    </w:p>
    <w:p w14:paraId="7262C8EA" w14:textId="71493AE8" w:rsidR="000A35F6" w:rsidRPr="008166D7" w:rsidRDefault="00813998" w:rsidP="004C2FAA">
      <w:pPr>
        <w:pStyle w:val="Corpsdetexte"/>
        <w:ind w:hanging="530"/>
      </w:pPr>
      <w:r w:rsidRPr="008166D7">
        <w:rPr>
          <w:rFonts w:eastAsia="Gadugi"/>
          <w:lang w:bidi="fr-CA"/>
        </w:rPr>
        <w:t>La SÉQ a indiqué dans la demande et en réponse aux DI que la méthode de prévision de l’efficience énergétique est conforme à l</w:t>
      </w:r>
      <w:r w:rsidR="00296C2D">
        <w:rPr>
          <w:rFonts w:eastAsia="Gadugi"/>
          <w:lang w:bidi="fr-CA"/>
        </w:rPr>
        <w:t>’</w:t>
      </w:r>
      <w:r w:rsidRPr="008166D7">
        <w:rPr>
          <w:rFonts w:eastAsia="Gadugi"/>
          <w:lang w:bidi="fr-CA"/>
        </w:rPr>
        <w:t>approche utilisée dans la RMTG de 2018-2019. La SÉQ a justifié son utilisation de la méthode dans ses réponses aux DI URRC</w:t>
      </w:r>
      <w:r w:rsidR="00145104" w:rsidRPr="008166D7">
        <w:rPr>
          <w:rFonts w:eastAsia="Gadugi"/>
          <w:lang w:bidi="fr-CA"/>
        </w:rPr>
        <w:noBreakHyphen/>
      </w:r>
      <w:r w:rsidRPr="008166D7">
        <w:rPr>
          <w:rFonts w:eastAsia="Gadugi"/>
          <w:lang w:bidi="fr-CA"/>
        </w:rPr>
        <w:t>QEC-1-14 et URRC-QEC-2-3 en indiquant que les taux d</w:t>
      </w:r>
      <w:r w:rsidR="00296C2D">
        <w:rPr>
          <w:rFonts w:eastAsia="Gadugi"/>
          <w:lang w:bidi="fr-CA"/>
        </w:rPr>
        <w:t>’</w:t>
      </w:r>
      <w:r w:rsidRPr="008166D7">
        <w:rPr>
          <w:rFonts w:eastAsia="Gadugi"/>
          <w:lang w:bidi="fr-CA"/>
        </w:rPr>
        <w:t>efficience énergétique prévus précédemment dans d</w:t>
      </w:r>
      <w:r w:rsidR="00296C2D">
        <w:rPr>
          <w:rFonts w:eastAsia="Gadugi"/>
          <w:lang w:bidi="fr-CA"/>
        </w:rPr>
        <w:t>’</w:t>
      </w:r>
      <w:r w:rsidRPr="008166D7">
        <w:rPr>
          <w:rFonts w:eastAsia="Gadugi"/>
          <w:lang w:bidi="fr-CA"/>
        </w:rPr>
        <w:t>autres RMTG étaient très près des efficiences réelles pour ces années. Le CETES ne remet pas en cause le fait que, dans l</w:t>
      </w:r>
      <w:r w:rsidR="00296C2D">
        <w:rPr>
          <w:rFonts w:eastAsia="Gadugi"/>
          <w:lang w:bidi="fr-CA"/>
        </w:rPr>
        <w:t>’</w:t>
      </w:r>
      <w:r w:rsidRPr="008166D7">
        <w:rPr>
          <w:rFonts w:eastAsia="Gadugi"/>
          <w:lang w:bidi="fr-CA"/>
        </w:rPr>
        <w:t>ensemble, et au cours des années où il y a relativement peu de nouvelles (et petites) centrales électriques, la méthode peut être assez précise. Elle tiendra éventuellement compte des changements d</w:t>
      </w:r>
      <w:r w:rsidR="00296C2D">
        <w:rPr>
          <w:rFonts w:eastAsia="Gadugi"/>
          <w:lang w:bidi="fr-CA"/>
        </w:rPr>
        <w:t>’</w:t>
      </w:r>
      <w:r w:rsidRPr="008166D7">
        <w:rPr>
          <w:rFonts w:eastAsia="Gadugi"/>
          <w:lang w:bidi="fr-CA"/>
        </w:rPr>
        <w:t>efficience énergétiques liés aux unités nouvelles ou substantiellement modifiées, mais ces changements ne seront pas entièrement pris en compte avant la fin de la période de pondération de trois ans. De plus, si l</w:t>
      </w:r>
      <w:r w:rsidR="00296C2D">
        <w:rPr>
          <w:rFonts w:eastAsia="Gadugi"/>
          <w:lang w:bidi="fr-CA"/>
        </w:rPr>
        <w:t>’</w:t>
      </w:r>
      <w:r w:rsidRPr="008166D7">
        <w:rPr>
          <w:rFonts w:eastAsia="Gadugi"/>
          <w:lang w:bidi="fr-CA"/>
        </w:rPr>
        <w:t>impact d</w:t>
      </w:r>
      <w:r w:rsidR="00296C2D">
        <w:rPr>
          <w:rFonts w:eastAsia="Gadugi"/>
          <w:lang w:bidi="fr-CA"/>
        </w:rPr>
        <w:t>’</w:t>
      </w:r>
      <w:r w:rsidRPr="008166D7">
        <w:rPr>
          <w:rFonts w:eastAsia="Gadugi"/>
          <w:lang w:bidi="fr-CA"/>
        </w:rPr>
        <w:t>une nouvelle centrale électrique dans une petite collectivité par rapport aux 25 autres peut ne pas changer radicalement l</w:t>
      </w:r>
      <w:r w:rsidR="00296C2D">
        <w:rPr>
          <w:rFonts w:eastAsia="Gadugi"/>
          <w:lang w:bidi="fr-CA"/>
        </w:rPr>
        <w:t>’</w:t>
      </w:r>
      <w:r w:rsidRPr="008166D7">
        <w:rPr>
          <w:rFonts w:eastAsia="Gadugi"/>
          <w:lang w:bidi="fr-CA"/>
        </w:rPr>
        <w:t>efficience énergétique globale de l</w:t>
      </w:r>
      <w:r w:rsidR="00296C2D">
        <w:rPr>
          <w:rFonts w:eastAsia="Gadugi"/>
          <w:lang w:bidi="fr-CA"/>
        </w:rPr>
        <w:t>’</w:t>
      </w:r>
      <w:r w:rsidRPr="008166D7">
        <w:rPr>
          <w:rFonts w:eastAsia="Gadugi"/>
          <w:lang w:bidi="fr-CA"/>
        </w:rPr>
        <w:t xml:space="preserve">entreprise, cela ne semble pas être </w:t>
      </w:r>
      <w:r w:rsidRPr="008166D7">
        <w:rPr>
          <w:rFonts w:eastAsia="Gadugi"/>
          <w:lang w:bidi="fr-CA"/>
        </w:rPr>
        <w:lastRenderedPageBreak/>
        <w:t>une bonne raison pour ne pas essayer de prévoir l</w:t>
      </w:r>
      <w:r w:rsidR="00296C2D">
        <w:rPr>
          <w:rFonts w:eastAsia="Gadugi"/>
          <w:lang w:bidi="fr-CA"/>
        </w:rPr>
        <w:t>’</w:t>
      </w:r>
      <w:r w:rsidRPr="008166D7">
        <w:rPr>
          <w:rFonts w:eastAsia="Gadugi"/>
          <w:lang w:bidi="fr-CA"/>
        </w:rPr>
        <w:t>impact d</w:t>
      </w:r>
      <w:r w:rsidR="00296C2D">
        <w:rPr>
          <w:rFonts w:eastAsia="Gadugi"/>
          <w:lang w:bidi="fr-CA"/>
        </w:rPr>
        <w:t>’</w:t>
      </w:r>
      <w:r w:rsidRPr="008166D7">
        <w:rPr>
          <w:rFonts w:eastAsia="Gadugi"/>
          <w:lang w:bidi="fr-CA"/>
        </w:rPr>
        <w:t>un équipement plus récent et amélioré.</w:t>
      </w:r>
    </w:p>
    <w:p w14:paraId="7262C8EB" w14:textId="52B86321" w:rsidR="0040444E" w:rsidRPr="008166D7" w:rsidRDefault="00813998" w:rsidP="004C2FAA">
      <w:pPr>
        <w:pStyle w:val="Corpsdetexte"/>
        <w:ind w:hanging="530"/>
      </w:pPr>
      <w:r w:rsidRPr="008166D7">
        <w:rPr>
          <w:rFonts w:eastAsia="Gadugi"/>
          <w:lang w:bidi="fr-CA"/>
        </w:rPr>
        <w:t>Le CETES indique que la SÉQ a également fourni un certain nombre de raisons pour lesquelles il est difficile de prévoir des taux d</w:t>
      </w:r>
      <w:r w:rsidR="00296C2D">
        <w:rPr>
          <w:rFonts w:eastAsia="Gadugi"/>
          <w:lang w:bidi="fr-CA"/>
        </w:rPr>
        <w:t>’</w:t>
      </w:r>
      <w:r w:rsidRPr="008166D7">
        <w:rPr>
          <w:rFonts w:eastAsia="Gadugi"/>
          <w:lang w:bidi="fr-CA"/>
        </w:rPr>
        <w:t>efficience énergétique pour les nouvelles unités qui ne sont pas encore en service. Le CETES reconna</w:t>
      </w:r>
      <w:r w:rsidR="00AD7DDC">
        <w:rPr>
          <w:rFonts w:eastAsia="Gadugi"/>
          <w:lang w:bidi="fr-CA"/>
        </w:rPr>
        <w:t>i</w:t>
      </w:r>
      <w:r w:rsidRPr="008166D7">
        <w:rPr>
          <w:rFonts w:eastAsia="Gadugi"/>
          <w:lang w:bidi="fr-CA"/>
        </w:rPr>
        <w:t>t qu</w:t>
      </w:r>
      <w:r w:rsidR="00296C2D">
        <w:rPr>
          <w:rFonts w:eastAsia="Gadugi"/>
          <w:lang w:bidi="fr-CA"/>
        </w:rPr>
        <w:t>’</w:t>
      </w:r>
      <w:r w:rsidRPr="008166D7">
        <w:rPr>
          <w:rFonts w:eastAsia="Gadugi"/>
          <w:lang w:bidi="fr-CA"/>
        </w:rPr>
        <w:t>il peut être difficile de prévoir les taux d</w:t>
      </w:r>
      <w:r w:rsidR="00296C2D">
        <w:rPr>
          <w:rFonts w:eastAsia="Gadugi"/>
          <w:lang w:bidi="fr-CA"/>
        </w:rPr>
        <w:t>’</w:t>
      </w:r>
      <w:r w:rsidRPr="008166D7">
        <w:rPr>
          <w:rFonts w:eastAsia="Gadugi"/>
          <w:lang w:bidi="fr-CA"/>
        </w:rPr>
        <w:t>efficience énergétique des nouvelles unités, pour les raisons indiquées. Néanmoins, il est évident que l</w:t>
      </w:r>
      <w:r w:rsidR="00296C2D">
        <w:rPr>
          <w:rFonts w:eastAsia="Gadugi"/>
          <w:lang w:bidi="fr-CA"/>
        </w:rPr>
        <w:t>’</w:t>
      </w:r>
      <w:r w:rsidRPr="008166D7">
        <w:rPr>
          <w:rFonts w:eastAsia="Gadugi"/>
          <w:lang w:bidi="fr-CA"/>
        </w:rPr>
        <w:t>efficience énergétique d</w:t>
      </w:r>
      <w:r w:rsidR="00296C2D">
        <w:rPr>
          <w:rFonts w:eastAsia="Gadugi"/>
          <w:lang w:bidi="fr-CA"/>
        </w:rPr>
        <w:t>’</w:t>
      </w:r>
      <w:r w:rsidRPr="008166D7">
        <w:rPr>
          <w:rFonts w:eastAsia="Gadugi"/>
          <w:lang w:bidi="fr-CA"/>
        </w:rPr>
        <w:t>une nouvelle unité doit être supérieure au taux moyen pondéré sur trois ans d</w:t>
      </w:r>
      <w:r w:rsidR="00296C2D">
        <w:rPr>
          <w:rFonts w:eastAsia="Gadugi"/>
          <w:lang w:bidi="fr-CA"/>
        </w:rPr>
        <w:t>’</w:t>
      </w:r>
      <w:r w:rsidRPr="008166D7">
        <w:rPr>
          <w:rFonts w:eastAsia="Gadugi"/>
          <w:lang w:bidi="fr-CA"/>
        </w:rPr>
        <w:t>une unité datant de 40 à 50 ans qui est remplacée.</w:t>
      </w:r>
    </w:p>
    <w:p w14:paraId="7262C8EC" w14:textId="0B74A65B" w:rsidR="004C2FAA" w:rsidRPr="008166D7" w:rsidRDefault="00813998" w:rsidP="004C2FAA">
      <w:pPr>
        <w:pStyle w:val="Corpsdetexte"/>
        <w:ind w:hanging="530"/>
      </w:pPr>
      <w:r w:rsidRPr="008166D7">
        <w:rPr>
          <w:rFonts w:eastAsia="Gadugi"/>
          <w:lang w:bidi="fr-CA"/>
        </w:rPr>
        <w:t>La réticence de la SÉQ à ne pas appliquer sa méthode de calcul de la moyenne pondérée sur trois ans laisse perplexe, surtout lorsqu</w:t>
      </w:r>
      <w:r w:rsidR="00296C2D">
        <w:rPr>
          <w:rFonts w:eastAsia="Gadugi"/>
          <w:lang w:bidi="fr-CA"/>
        </w:rPr>
        <w:t>’</w:t>
      </w:r>
      <w:r w:rsidRPr="008166D7">
        <w:rPr>
          <w:rFonts w:eastAsia="Gadugi"/>
          <w:lang w:bidi="fr-CA"/>
        </w:rPr>
        <w:t>elle est confrontée à une situation «</w:t>
      </w:r>
      <w:r w:rsidR="00296C2D">
        <w:rPr>
          <w:rFonts w:eastAsia="Gadugi"/>
          <w:lang w:bidi="fr-CA"/>
        </w:rPr>
        <w:t> </w:t>
      </w:r>
      <w:r w:rsidRPr="008166D7">
        <w:rPr>
          <w:rFonts w:eastAsia="Gadugi"/>
          <w:lang w:bidi="fr-CA"/>
        </w:rPr>
        <w:t>nouvelle ou modifiée</w:t>
      </w:r>
      <w:r w:rsidR="00296C2D">
        <w:rPr>
          <w:rFonts w:eastAsia="Gadugi"/>
          <w:lang w:bidi="fr-CA"/>
        </w:rPr>
        <w:t> </w:t>
      </w:r>
      <w:r w:rsidRPr="008166D7">
        <w:rPr>
          <w:rFonts w:eastAsia="Gadugi"/>
          <w:lang w:bidi="fr-CA"/>
        </w:rPr>
        <w:t>» pour une collectivité donnée. Le CETES indique que l</w:t>
      </w:r>
      <w:r w:rsidR="00296C2D">
        <w:rPr>
          <w:rFonts w:eastAsia="Gadugi"/>
          <w:lang w:bidi="fr-CA"/>
        </w:rPr>
        <w:t>’</w:t>
      </w:r>
      <w:r w:rsidRPr="008166D7">
        <w:rPr>
          <w:rFonts w:eastAsia="Gadugi"/>
          <w:lang w:bidi="fr-CA"/>
        </w:rPr>
        <w:t>efficience énergétique des nouvelles centrales électriques est un facteur que la SÉQ prend en compte dans ses DPPM pour les nouvelles centrales électriques et semble à l</w:t>
      </w:r>
      <w:r w:rsidR="00296C2D">
        <w:rPr>
          <w:rFonts w:eastAsia="Gadugi"/>
          <w:lang w:bidi="fr-CA"/>
        </w:rPr>
        <w:t>’</w:t>
      </w:r>
      <w:r w:rsidRPr="008166D7">
        <w:rPr>
          <w:rFonts w:eastAsia="Gadugi"/>
          <w:lang w:bidi="fr-CA"/>
        </w:rPr>
        <w:t>aise pour l</w:t>
      </w:r>
      <w:r w:rsidR="00296C2D">
        <w:rPr>
          <w:rFonts w:eastAsia="Gadugi"/>
          <w:lang w:bidi="fr-CA"/>
        </w:rPr>
        <w:t>’</w:t>
      </w:r>
      <w:r w:rsidRPr="008166D7">
        <w:rPr>
          <w:rFonts w:eastAsia="Gadugi"/>
          <w:lang w:bidi="fr-CA"/>
        </w:rPr>
        <w:t>estimer et l</w:t>
      </w:r>
      <w:r w:rsidR="00296C2D">
        <w:rPr>
          <w:rFonts w:eastAsia="Gadugi"/>
          <w:lang w:bidi="fr-CA"/>
        </w:rPr>
        <w:t>’</w:t>
      </w:r>
      <w:r w:rsidRPr="008166D7">
        <w:rPr>
          <w:rFonts w:eastAsia="Gadugi"/>
          <w:lang w:bidi="fr-CA"/>
        </w:rPr>
        <w:t>inclure aux fins de ces demandes. Le CETES recommande que la SÉQ ajuste sa méthode de prévision de l</w:t>
      </w:r>
      <w:r w:rsidR="00296C2D">
        <w:rPr>
          <w:rFonts w:eastAsia="Gadugi"/>
          <w:lang w:bidi="fr-CA"/>
        </w:rPr>
        <w:t>’</w:t>
      </w:r>
      <w:r w:rsidRPr="008166D7">
        <w:rPr>
          <w:rFonts w:eastAsia="Gadugi"/>
          <w:lang w:bidi="fr-CA"/>
        </w:rPr>
        <w:t>efficience énergétique pour comprendre l</w:t>
      </w:r>
      <w:r w:rsidR="00296C2D">
        <w:rPr>
          <w:rFonts w:eastAsia="Gadugi"/>
          <w:lang w:bidi="fr-CA"/>
        </w:rPr>
        <w:t>’</w:t>
      </w:r>
      <w:r w:rsidRPr="008166D7">
        <w:rPr>
          <w:rFonts w:eastAsia="Gadugi"/>
          <w:lang w:bidi="fr-CA"/>
        </w:rPr>
        <w:t>efficience énergétique prévue des centrales électriques nouvelles ou substantiellement modifiées pour les trois premières années d</w:t>
      </w:r>
      <w:r w:rsidR="00296C2D">
        <w:rPr>
          <w:rFonts w:eastAsia="Gadugi"/>
          <w:lang w:bidi="fr-CA"/>
        </w:rPr>
        <w:t>’</w:t>
      </w:r>
      <w:r w:rsidRPr="008166D7">
        <w:rPr>
          <w:rFonts w:eastAsia="Gadugi"/>
          <w:lang w:bidi="fr-CA"/>
        </w:rPr>
        <w:t>exploitation. Après la période de trois</w:t>
      </w:r>
      <w:r w:rsidR="004D4F46">
        <w:rPr>
          <w:rFonts w:eastAsia="Gadugi"/>
          <w:lang w:bidi="fr-CA"/>
        </w:rPr>
        <w:t xml:space="preserve"> </w:t>
      </w:r>
      <w:r w:rsidRPr="008166D7">
        <w:rPr>
          <w:rFonts w:eastAsia="Gadugi"/>
          <w:lang w:bidi="fr-CA"/>
        </w:rPr>
        <w:t>ans, l’utilisation de la méthode de la moyenne pondérée sur trois</w:t>
      </w:r>
      <w:r w:rsidR="004D4F46">
        <w:rPr>
          <w:rFonts w:eastAsia="Gadugi"/>
          <w:lang w:bidi="fr-CA"/>
        </w:rPr>
        <w:t xml:space="preserve"> </w:t>
      </w:r>
      <w:r w:rsidRPr="008166D7">
        <w:rPr>
          <w:rFonts w:eastAsia="Gadugi"/>
          <w:lang w:bidi="fr-CA"/>
        </w:rPr>
        <w:t>ans serait raisonnable.</w:t>
      </w:r>
    </w:p>
    <w:p w14:paraId="7262C8ED" w14:textId="57784F23" w:rsidR="00AD0B5D" w:rsidRPr="008166D7" w:rsidRDefault="00813998" w:rsidP="004C2FAA">
      <w:pPr>
        <w:pStyle w:val="Corpsdetexte"/>
        <w:ind w:hanging="530"/>
      </w:pPr>
      <w:r w:rsidRPr="008166D7">
        <w:rPr>
          <w:rFonts w:eastAsia="Gadugi"/>
          <w:lang w:bidi="fr-CA"/>
        </w:rPr>
        <w:t>À l</w:t>
      </w:r>
      <w:r w:rsidR="00296C2D">
        <w:rPr>
          <w:rFonts w:eastAsia="Gadugi"/>
          <w:lang w:bidi="fr-CA"/>
        </w:rPr>
        <w:t>’</w:t>
      </w:r>
      <w:r w:rsidRPr="008166D7">
        <w:rPr>
          <w:rFonts w:eastAsia="Gadugi"/>
          <w:lang w:bidi="fr-CA"/>
        </w:rPr>
        <w:t>exception de la recommandation ci-dessus, les prévisions des besoins en combustible pour 2022-2023 semblent être raisonnables.</w:t>
      </w:r>
    </w:p>
    <w:p w14:paraId="7262C8EF"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PRÉVISIONS RELATIVES AUX REVENUS AUTRES QUE L’ÉLECTRICITÉ</w:t>
      </w:r>
    </w:p>
    <w:p w14:paraId="7262C8F1" w14:textId="103C01B4" w:rsidR="004C2FAA" w:rsidRPr="008166D7" w:rsidRDefault="00813998" w:rsidP="004C2FAA">
      <w:pPr>
        <w:pStyle w:val="Corpsdetexte"/>
        <w:ind w:hanging="530"/>
      </w:pPr>
      <w:r w:rsidRPr="008166D7">
        <w:rPr>
          <w:rFonts w:eastAsia="Gadugi"/>
          <w:lang w:bidi="fr-CA"/>
        </w:rPr>
        <w:t>La SÉQ a présenté ses prévisions de revenus pour 2022-2023, telles que décrites aux pages 3-8, 3-13 et 3</w:t>
      </w:r>
      <w:r w:rsidR="00965C54" w:rsidRPr="008166D7">
        <w:rPr>
          <w:rFonts w:eastAsia="Gadugi"/>
          <w:lang w:bidi="fr-CA"/>
        </w:rPr>
        <w:noBreakHyphen/>
      </w:r>
      <w:r w:rsidRPr="008166D7">
        <w:rPr>
          <w:rFonts w:eastAsia="Gadugi"/>
          <w:lang w:bidi="fr-CA"/>
        </w:rPr>
        <w:t>14 de la demande, et a inclus les montants dans l</w:t>
      </w:r>
      <w:r w:rsidR="00296C2D">
        <w:rPr>
          <w:rFonts w:eastAsia="Gadugi"/>
          <w:lang w:bidi="fr-CA"/>
        </w:rPr>
        <w:t>’</w:t>
      </w:r>
      <w:r w:rsidRPr="008166D7">
        <w:rPr>
          <w:rFonts w:eastAsia="Gadugi"/>
          <w:lang w:bidi="fr-CA"/>
        </w:rPr>
        <w:t xml:space="preserve">annexe 3.3 de la demande. La SÉQ a élaboré des prévisions pour trois catégories : l’usage commun, les frais divers, et le temps et les matériaux pour des projets. </w:t>
      </w:r>
    </w:p>
    <w:p w14:paraId="7262C8F2" w14:textId="77777777" w:rsidR="0024464E" w:rsidRPr="008166D7" w:rsidRDefault="00813998" w:rsidP="004C2FAA">
      <w:pPr>
        <w:pStyle w:val="Corpsdetexte"/>
        <w:ind w:hanging="530"/>
      </w:pPr>
      <w:r w:rsidRPr="008166D7">
        <w:rPr>
          <w:rFonts w:eastAsia="Gadugi"/>
          <w:lang w:bidi="fr-CA"/>
        </w:rPr>
        <w:t xml:space="preserve">Les prévisions des revenus pour 2022-2023 sont conformes aux prévisions de la RMTG de 2018-2019 et aux montants réels de 2018-2019 à 2020-2021. </w:t>
      </w:r>
    </w:p>
    <w:p w14:paraId="7262C8F3" w14:textId="25FF4693" w:rsidR="004C2FAA" w:rsidRPr="008166D7" w:rsidRDefault="00813998" w:rsidP="0024464E">
      <w:pPr>
        <w:pStyle w:val="Corpsdetexte"/>
        <w:ind w:hanging="530"/>
      </w:pPr>
      <w:r w:rsidRPr="008166D7">
        <w:rPr>
          <w:rFonts w:eastAsia="Gadugi"/>
          <w:lang w:bidi="fr-CA"/>
        </w:rPr>
        <w:lastRenderedPageBreak/>
        <w:t>Le CETES estime que les prévisions des revenus autres que l</w:t>
      </w:r>
      <w:r w:rsidR="00296C2D">
        <w:rPr>
          <w:rFonts w:eastAsia="Gadugi"/>
          <w:lang w:bidi="fr-CA"/>
        </w:rPr>
        <w:t>’</w:t>
      </w:r>
      <w:r w:rsidRPr="008166D7">
        <w:rPr>
          <w:rFonts w:eastAsia="Gadugi"/>
          <w:lang w:bidi="fr-CA"/>
        </w:rPr>
        <w:t xml:space="preserve">électricité pour 2022-2023 sont raisonnables. </w:t>
      </w:r>
    </w:p>
    <w:p w14:paraId="7262C8F6" w14:textId="77777777" w:rsidR="007E5103" w:rsidRPr="008166D7" w:rsidRDefault="00813998" w:rsidP="004C2FAA">
      <w:pPr>
        <w:pStyle w:val="Heading2URRC"/>
        <w:rPr>
          <w:rFonts w:ascii="Times New Roman" w:hAnsi="Times New Roman"/>
        </w:rPr>
      </w:pPr>
      <w:r w:rsidRPr="008166D7">
        <w:rPr>
          <w:rFonts w:ascii="Times New Roman" w:eastAsia="Gadugi" w:hAnsi="Times New Roman"/>
          <w:lang w:bidi="fr-CA"/>
        </w:rPr>
        <w:t>FONCTIONNEMENT ET ENTRETIEN</w:t>
      </w:r>
    </w:p>
    <w:p w14:paraId="7262C8F7" w14:textId="41D962AB" w:rsidR="004C2FAA" w:rsidRPr="008166D7" w:rsidRDefault="00813998" w:rsidP="004C2FAA">
      <w:pPr>
        <w:pStyle w:val="Corpsdetexte"/>
        <w:ind w:hanging="530"/>
      </w:pPr>
      <w:r w:rsidRPr="008166D7">
        <w:rPr>
          <w:rFonts w:eastAsia="Gadugi"/>
          <w:lang w:bidi="fr-CA"/>
        </w:rPr>
        <w:t>La SÉQ a fourni des détails concernant ses prévisions de dépenses relatives au fonctionnement et à l</w:t>
      </w:r>
      <w:r w:rsidR="00296C2D">
        <w:rPr>
          <w:rFonts w:eastAsia="Gadugi"/>
          <w:lang w:bidi="fr-CA"/>
        </w:rPr>
        <w:t>’</w:t>
      </w:r>
      <w:r w:rsidRPr="008166D7">
        <w:rPr>
          <w:rFonts w:eastAsia="Gadugi"/>
          <w:lang w:bidi="fr-CA"/>
        </w:rPr>
        <w:t>entretien pour 2022-2023 dans le tableau 4.3 de la demande, en comparant les prévisions pour 2022-2023 aux prévisions de la RMTG de 2018-2019. Dans l</w:t>
      </w:r>
      <w:r w:rsidR="00296C2D">
        <w:rPr>
          <w:rFonts w:eastAsia="Gadugi"/>
          <w:lang w:bidi="fr-CA"/>
        </w:rPr>
        <w:t>’</w:t>
      </w:r>
      <w:r w:rsidRPr="008166D7">
        <w:rPr>
          <w:rFonts w:eastAsia="Gadugi"/>
          <w:lang w:bidi="fr-CA"/>
        </w:rPr>
        <w:t>annexe 4.1 de la demande, la SÉQ a également fourni les montants de la RMTG de 2018-2019 et les montants réels/prévus de 2018-2019 à 2020-2021 par rapport aux prévisions de 2022-2023.</w:t>
      </w:r>
    </w:p>
    <w:p w14:paraId="7262C8F8" w14:textId="25531F58" w:rsidR="009311DF" w:rsidRPr="008166D7" w:rsidRDefault="00813998" w:rsidP="004C2FAA">
      <w:pPr>
        <w:pStyle w:val="Corpsdetexte"/>
        <w:ind w:hanging="530"/>
      </w:pPr>
      <w:r w:rsidRPr="008166D7">
        <w:rPr>
          <w:rFonts w:eastAsia="Gadugi"/>
          <w:lang w:bidi="fr-CA"/>
        </w:rPr>
        <w:t>Le CETES indique que les prévisions globales relatives au fonctionnement et à l</w:t>
      </w:r>
      <w:r w:rsidR="00296C2D">
        <w:rPr>
          <w:rFonts w:eastAsia="Gadugi"/>
          <w:lang w:bidi="fr-CA"/>
        </w:rPr>
        <w:t>’</w:t>
      </w:r>
      <w:r w:rsidRPr="008166D7">
        <w:rPr>
          <w:rFonts w:eastAsia="Gadugi"/>
          <w:lang w:bidi="fr-CA"/>
        </w:rPr>
        <w:t>entretien ont augmenté de 4,446 millions de dollars depuis la RMTG de 2018-2019. Les prévisions de 64,620 millions de dollars pour 2022-2023 ont augmenté à un taux annuel moyen de 1,8 % depuis la RMTG de 2018-2019, comparativement à l</w:t>
      </w:r>
      <w:r w:rsidR="00296C2D">
        <w:rPr>
          <w:rFonts w:eastAsia="Gadugi"/>
          <w:lang w:bidi="fr-CA"/>
        </w:rPr>
        <w:t>’</w:t>
      </w:r>
      <w:r w:rsidRPr="008166D7">
        <w:rPr>
          <w:rFonts w:eastAsia="Gadugi"/>
          <w:lang w:bidi="fr-CA"/>
        </w:rPr>
        <w:t>inflation annuelle moyenne pour le Nunavut de 1,4 % (pour la période de janvier 2019 à janvier 2022). La SÉQ a indiqué qu</w:t>
      </w:r>
      <w:r w:rsidR="00296C2D">
        <w:rPr>
          <w:rFonts w:eastAsia="Gadugi"/>
          <w:lang w:bidi="fr-CA"/>
        </w:rPr>
        <w:t>’</w:t>
      </w:r>
      <w:r w:rsidRPr="008166D7">
        <w:rPr>
          <w:rFonts w:eastAsia="Gadugi"/>
          <w:lang w:bidi="fr-CA"/>
        </w:rPr>
        <w:t>en termes réels, l</w:t>
      </w:r>
      <w:r w:rsidR="00296C2D">
        <w:rPr>
          <w:rFonts w:eastAsia="Gadugi"/>
          <w:lang w:bidi="fr-CA"/>
        </w:rPr>
        <w:t>’</w:t>
      </w:r>
      <w:r w:rsidRPr="008166D7">
        <w:rPr>
          <w:rFonts w:eastAsia="Gadugi"/>
          <w:lang w:bidi="fr-CA"/>
        </w:rPr>
        <w:t>augmentation annuelle moyenne du fonctionnement et de l</w:t>
      </w:r>
      <w:r w:rsidR="00296C2D">
        <w:rPr>
          <w:rFonts w:eastAsia="Gadugi"/>
          <w:lang w:bidi="fr-CA"/>
        </w:rPr>
        <w:t>’</w:t>
      </w:r>
      <w:r w:rsidRPr="008166D7">
        <w:rPr>
          <w:rFonts w:eastAsia="Gadugi"/>
          <w:lang w:bidi="fr-CA"/>
        </w:rPr>
        <w:t>entretien est d</w:t>
      </w:r>
      <w:r w:rsidR="00296C2D">
        <w:rPr>
          <w:rFonts w:eastAsia="Gadugi"/>
          <w:lang w:bidi="fr-CA"/>
        </w:rPr>
        <w:t>’</w:t>
      </w:r>
      <w:r w:rsidRPr="008166D7">
        <w:rPr>
          <w:rFonts w:eastAsia="Gadugi"/>
          <w:lang w:bidi="fr-CA"/>
        </w:rPr>
        <w:t>environ 0,4 %.</w:t>
      </w:r>
    </w:p>
    <w:p w14:paraId="7262C8F9" w14:textId="3EF18F4B" w:rsidR="00A6737D" w:rsidRPr="008166D7" w:rsidRDefault="00813998" w:rsidP="001A4F3B">
      <w:pPr>
        <w:pStyle w:val="Corpsdetexte"/>
        <w:ind w:hanging="530"/>
      </w:pPr>
      <w:r w:rsidRPr="008166D7">
        <w:rPr>
          <w:rFonts w:eastAsia="Gadugi"/>
          <w:lang w:bidi="fr-CA"/>
        </w:rPr>
        <w:t>Les prévisions de la SÉQ sont réparties entre les salaires et traitements, les fournitures et services, la restauration des sites, et les déplacements et l</w:t>
      </w:r>
      <w:r w:rsidR="00296C2D">
        <w:rPr>
          <w:rFonts w:eastAsia="Gadugi"/>
          <w:lang w:bidi="fr-CA"/>
        </w:rPr>
        <w:t>’</w:t>
      </w:r>
      <w:r w:rsidRPr="008166D7">
        <w:rPr>
          <w:rFonts w:eastAsia="Gadugi"/>
          <w:lang w:bidi="fr-CA"/>
        </w:rPr>
        <w:t>hébergement. Le CETES examinera chaque catégorie des prévisions relatives au fonctionnement et à l</w:t>
      </w:r>
      <w:r w:rsidR="00296C2D">
        <w:rPr>
          <w:rFonts w:eastAsia="Gadugi"/>
          <w:lang w:bidi="fr-CA"/>
        </w:rPr>
        <w:t>’</w:t>
      </w:r>
      <w:r w:rsidRPr="008166D7">
        <w:rPr>
          <w:rFonts w:eastAsia="Gadugi"/>
          <w:lang w:bidi="fr-CA"/>
        </w:rPr>
        <w:t>entretien individuellement ci-dessous, mais le CETES indique que, sous réserve de certaines recommandations dans ces sections, les prévisions pour 2022-2023 semblent raisonnables.</w:t>
      </w:r>
    </w:p>
    <w:p w14:paraId="7262C8FA"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F et E – SALAIRES ET TRAITEMENTS</w:t>
      </w:r>
    </w:p>
    <w:p w14:paraId="7262C8FC" w14:textId="779C7500" w:rsidR="00D71179" w:rsidRPr="008166D7" w:rsidRDefault="00813998" w:rsidP="004C2FAA">
      <w:pPr>
        <w:pStyle w:val="Corpsdetexte"/>
        <w:ind w:hanging="530"/>
      </w:pPr>
      <w:r w:rsidRPr="008166D7">
        <w:rPr>
          <w:rFonts w:eastAsia="Gadugi"/>
          <w:lang w:bidi="fr-CA"/>
        </w:rPr>
        <w:t>La SÉQ a présenté ses prévisions relatives aux traitements et salaires pour 2022-2023, soit 46 371 $ dans le tableau 4.3 de la demande, ce qui représente une augmentation de 5,084 millions de dollars par rapport à la RMTG de 2018-2019. La SÉQ a déclaré que les prévisions reflétaient les augmentations du co</w:t>
      </w:r>
      <w:r w:rsidR="008166D7">
        <w:rPr>
          <w:rFonts w:eastAsia="Gadugi"/>
          <w:lang w:bidi="fr-CA"/>
        </w:rPr>
        <w:t>u</w:t>
      </w:r>
      <w:r w:rsidRPr="008166D7">
        <w:rPr>
          <w:rFonts w:eastAsia="Gadugi"/>
          <w:lang w:bidi="fr-CA"/>
        </w:rPr>
        <w:t>t de la vie, conformément aux conventions collectives de la SÉQ, les augmentations annuelles d</w:t>
      </w:r>
      <w:r w:rsidR="00296C2D">
        <w:rPr>
          <w:rFonts w:eastAsia="Gadugi"/>
          <w:lang w:bidi="fr-CA"/>
        </w:rPr>
        <w:t>’</w:t>
      </w:r>
      <w:r w:rsidRPr="008166D7">
        <w:rPr>
          <w:rFonts w:eastAsia="Gadugi"/>
          <w:lang w:bidi="fr-CA"/>
        </w:rPr>
        <w:t xml:space="preserve">échelons (au mérite) </w:t>
      </w:r>
      <w:r w:rsidRPr="008166D7">
        <w:rPr>
          <w:rFonts w:eastAsia="Gadugi"/>
          <w:lang w:bidi="fr-CA"/>
        </w:rPr>
        <w:lastRenderedPageBreak/>
        <w:t>pour les employés, ainsi que les changements apportés au personnel en réponse à plusieurs priorités stratégiques de la SÉQ.</w:t>
      </w:r>
    </w:p>
    <w:p w14:paraId="7262C8FD" w14:textId="202E4EBF" w:rsidR="00B71D31" w:rsidRPr="008166D7" w:rsidRDefault="00813998" w:rsidP="004C2FAA">
      <w:pPr>
        <w:pStyle w:val="Corpsdetexte"/>
        <w:ind w:hanging="530"/>
      </w:pPr>
      <w:r w:rsidRPr="008166D7">
        <w:rPr>
          <w:rFonts w:eastAsia="Gadugi"/>
          <w:lang w:bidi="fr-CA"/>
        </w:rPr>
        <w:t>La SÉQ a fourni des informations sur les augmentations moyennes des taux horaires, les salaires et traitements annuels moyens par poste équivalent temps plein (ETP), les augmentations annuelles moyennes incluant à la fois le co</w:t>
      </w:r>
      <w:r w:rsidR="008166D7">
        <w:rPr>
          <w:rFonts w:eastAsia="Gadugi"/>
          <w:lang w:bidi="fr-CA"/>
        </w:rPr>
        <w:t>u</w:t>
      </w:r>
      <w:r w:rsidRPr="008166D7">
        <w:rPr>
          <w:rFonts w:eastAsia="Gadugi"/>
          <w:lang w:bidi="fr-CA"/>
        </w:rPr>
        <w:t xml:space="preserve">t de la vie et les augmentations au mérite. </w:t>
      </w:r>
    </w:p>
    <w:p w14:paraId="7262C8FE" w14:textId="7063AA3A" w:rsidR="00B71D31" w:rsidRPr="008166D7" w:rsidRDefault="00813998" w:rsidP="004C2FAA">
      <w:pPr>
        <w:pStyle w:val="Corpsdetexte"/>
        <w:ind w:hanging="530"/>
      </w:pPr>
      <w:r w:rsidRPr="008166D7">
        <w:rPr>
          <w:rFonts w:eastAsia="Gadugi"/>
          <w:lang w:bidi="fr-CA"/>
        </w:rPr>
        <w:t>La SÉQ a déclaré qu</w:t>
      </w:r>
      <w:r w:rsidR="00296C2D">
        <w:rPr>
          <w:rFonts w:eastAsia="Gadugi"/>
          <w:lang w:bidi="fr-CA"/>
        </w:rPr>
        <w:t>’</w:t>
      </w:r>
      <w:r w:rsidRPr="008166D7">
        <w:rPr>
          <w:rFonts w:eastAsia="Gadugi"/>
          <w:lang w:bidi="fr-CA"/>
        </w:rPr>
        <w:t>afin de continuer à fournir un service sûr et fiable, elle a révisé sa structure organisationnelle. La SÉQ a présenté la nouvelle structure visant à promouvoir les possibilités de croissance, de formation croisée et de collaboration, et à augmenter les possibilités d</w:t>
      </w:r>
      <w:r w:rsidR="00296C2D">
        <w:rPr>
          <w:rFonts w:eastAsia="Gadugi"/>
          <w:lang w:bidi="fr-CA"/>
        </w:rPr>
        <w:t>’</w:t>
      </w:r>
      <w:r w:rsidRPr="008166D7">
        <w:rPr>
          <w:rFonts w:eastAsia="Gadugi"/>
          <w:lang w:bidi="fr-CA"/>
        </w:rPr>
        <w:t>emploi par le biais d</w:t>
      </w:r>
      <w:r w:rsidR="00296C2D">
        <w:rPr>
          <w:rFonts w:eastAsia="Gadugi"/>
          <w:lang w:bidi="fr-CA"/>
        </w:rPr>
        <w:t>’</w:t>
      </w:r>
      <w:r w:rsidRPr="008166D7">
        <w:rPr>
          <w:rFonts w:eastAsia="Gadugi"/>
          <w:lang w:bidi="fr-CA"/>
        </w:rPr>
        <w:t>initiatives d</w:t>
      </w:r>
      <w:r w:rsidR="00296C2D">
        <w:rPr>
          <w:rFonts w:eastAsia="Gadugi"/>
          <w:lang w:bidi="fr-CA"/>
        </w:rPr>
        <w:t>’</w:t>
      </w:r>
      <w:r w:rsidRPr="008166D7">
        <w:rPr>
          <w:rFonts w:eastAsia="Gadugi"/>
          <w:lang w:bidi="fr-CA"/>
        </w:rPr>
        <w:t>embauche des Inuits dans des rôles de gestion. De plus, la SÉQ a déclaré que la nouvelle structure permettait d</w:t>
      </w:r>
      <w:r w:rsidR="00296C2D">
        <w:rPr>
          <w:rFonts w:eastAsia="Gadugi"/>
          <w:lang w:bidi="fr-CA"/>
        </w:rPr>
        <w:t>’</w:t>
      </w:r>
      <w:r w:rsidRPr="008166D7">
        <w:rPr>
          <w:rFonts w:eastAsia="Gadugi"/>
          <w:lang w:bidi="fr-CA"/>
        </w:rPr>
        <w:t>accro</w:t>
      </w:r>
      <w:r w:rsidR="00AD7DDC">
        <w:rPr>
          <w:rFonts w:eastAsia="Gadugi"/>
          <w:lang w:bidi="fr-CA"/>
        </w:rPr>
        <w:t>i</w:t>
      </w:r>
      <w:r w:rsidRPr="008166D7">
        <w:rPr>
          <w:rFonts w:eastAsia="Gadugi"/>
          <w:lang w:bidi="fr-CA"/>
        </w:rPr>
        <w:t>tre l</w:t>
      </w:r>
      <w:r w:rsidR="00296C2D">
        <w:rPr>
          <w:rFonts w:eastAsia="Gadugi"/>
          <w:lang w:bidi="fr-CA"/>
        </w:rPr>
        <w:t>’</w:t>
      </w:r>
      <w:r w:rsidRPr="008166D7">
        <w:rPr>
          <w:rFonts w:eastAsia="Gadugi"/>
          <w:lang w:bidi="fr-CA"/>
        </w:rPr>
        <w:t>efficience du travail entre les différentes régions.</w:t>
      </w:r>
    </w:p>
    <w:p w14:paraId="7262C8FF" w14:textId="644EB66B" w:rsidR="00B71D31" w:rsidRPr="008166D7" w:rsidRDefault="00813998" w:rsidP="004C2FAA">
      <w:pPr>
        <w:pStyle w:val="Corpsdetexte"/>
        <w:ind w:hanging="530"/>
      </w:pPr>
      <w:r w:rsidRPr="008166D7">
        <w:rPr>
          <w:rFonts w:eastAsia="Gadugi"/>
          <w:lang w:bidi="fr-CA"/>
        </w:rPr>
        <w:t>Dans l</w:t>
      </w:r>
      <w:r w:rsidR="00296C2D">
        <w:rPr>
          <w:rFonts w:eastAsia="Gadugi"/>
          <w:lang w:bidi="fr-CA"/>
        </w:rPr>
        <w:t>’</w:t>
      </w:r>
      <w:r w:rsidRPr="008166D7">
        <w:rPr>
          <w:rFonts w:eastAsia="Gadugi"/>
          <w:lang w:bidi="fr-CA"/>
        </w:rPr>
        <w:t>ensemble, la SÉQ a présenté les prévisions relatives à l</w:t>
      </w:r>
      <w:r w:rsidR="00296C2D">
        <w:rPr>
          <w:rFonts w:eastAsia="Gadugi"/>
          <w:lang w:bidi="fr-CA"/>
        </w:rPr>
        <w:t>’</w:t>
      </w:r>
      <w:r w:rsidRPr="008166D7">
        <w:rPr>
          <w:rFonts w:eastAsia="Gadugi"/>
          <w:lang w:bidi="fr-CA"/>
        </w:rPr>
        <w:t>effectif en ETP, qui est passé à 209, ce qui représente une augmentation nette de trois ETP par rapport à la RMTG de 2018-2019. La SÉQ a présenté ses prévisions de taux de vacance de 10,2 % pour 2022-2023.</w:t>
      </w:r>
    </w:p>
    <w:p w14:paraId="7262C900" w14:textId="17686350" w:rsidR="004C2FAA" w:rsidRPr="008166D7" w:rsidRDefault="00813998" w:rsidP="004C2FAA">
      <w:pPr>
        <w:pStyle w:val="Corpsdetexte"/>
        <w:ind w:hanging="530"/>
      </w:pPr>
      <w:r w:rsidRPr="008166D7">
        <w:rPr>
          <w:rFonts w:eastAsia="Gadugi"/>
          <w:lang w:bidi="fr-CA"/>
        </w:rPr>
        <w:t>Le CETES a demandé des précisions sur un certain nombre de points concernant les prévisions relatives aux traitements et salaires pour 2022-2023. La SÉQ a fourni des réponses dans les URRC-QEC-1-15 et URRC-QEC-2-6. Le CETES souhaitait obtenir des informations complémentaires sur les salaires et traitements par lieu et par fonction, les postes vacants, les salaires et traitements moyens, les heures supplémentaires et les affectations intérimaires internes. Le CETES indique que la dotation en personnel a été un défi pour la SÉQ au cours des dernières années, et il semble que ces défis se poursuivront au cours du prochain exercice de référence 2022-2023.</w:t>
      </w:r>
    </w:p>
    <w:p w14:paraId="7262C901" w14:textId="6B898B85" w:rsidR="00C732CE" w:rsidRPr="008166D7" w:rsidRDefault="00813998" w:rsidP="004C2FAA">
      <w:pPr>
        <w:pStyle w:val="Corpsdetexte"/>
        <w:ind w:hanging="530"/>
      </w:pPr>
      <w:r w:rsidRPr="008166D7">
        <w:rPr>
          <w:rFonts w:eastAsia="Gadugi"/>
          <w:lang w:bidi="fr-CA"/>
        </w:rPr>
        <w:t>Le CETES indique que les prévisions globales relatives aux traitements et salaires pour 2022-2023 semblent raisonnables, mais qu</w:t>
      </w:r>
      <w:r w:rsidR="00296C2D">
        <w:rPr>
          <w:rFonts w:eastAsia="Gadugi"/>
          <w:lang w:bidi="fr-CA"/>
        </w:rPr>
        <w:t>’</w:t>
      </w:r>
      <w:r w:rsidRPr="008166D7">
        <w:rPr>
          <w:rFonts w:eastAsia="Gadugi"/>
          <w:lang w:bidi="fr-CA"/>
        </w:rPr>
        <w:t>il est difficile de formuler une recommandation ferme en raison du taux de vacance élevé et du nombre important d</w:t>
      </w:r>
      <w:r w:rsidR="00296C2D">
        <w:rPr>
          <w:rFonts w:eastAsia="Gadugi"/>
          <w:lang w:bidi="fr-CA"/>
        </w:rPr>
        <w:t>’</w:t>
      </w:r>
      <w:r w:rsidRPr="008166D7">
        <w:rPr>
          <w:rFonts w:eastAsia="Gadugi"/>
          <w:lang w:bidi="fr-CA"/>
        </w:rPr>
        <w:t>heures supplémentaires inclus dans les prévisions. Les heures supplémentaires représentent près de 10 % du total des prévisions relatives aux traitements et salaires.</w:t>
      </w:r>
    </w:p>
    <w:p w14:paraId="7262C902" w14:textId="525D1E87" w:rsidR="004C2FAA" w:rsidRPr="008166D7" w:rsidRDefault="00813998" w:rsidP="004C2FAA">
      <w:pPr>
        <w:pStyle w:val="Corpsdetexte"/>
        <w:ind w:hanging="530"/>
      </w:pPr>
      <w:r w:rsidRPr="008166D7">
        <w:rPr>
          <w:rFonts w:eastAsia="Gadugi"/>
          <w:lang w:bidi="fr-CA"/>
        </w:rPr>
        <w:lastRenderedPageBreak/>
        <w:t>Le CETES est préoccupé par le recours permanent à des affectations intérimaires, la SÉQ ayant déclaré que les membres du personnel assumeront simultanément leurs rôles «</w:t>
      </w:r>
      <w:r w:rsidR="00296C2D">
        <w:rPr>
          <w:rFonts w:eastAsia="Gadugi"/>
          <w:lang w:bidi="fr-CA"/>
        </w:rPr>
        <w:t> </w:t>
      </w:r>
      <w:r w:rsidRPr="008166D7">
        <w:rPr>
          <w:rFonts w:eastAsia="Gadugi"/>
          <w:lang w:bidi="fr-CA"/>
        </w:rPr>
        <w:t>réguliers</w:t>
      </w:r>
      <w:r w:rsidR="00296C2D">
        <w:rPr>
          <w:rFonts w:eastAsia="Gadugi"/>
          <w:lang w:bidi="fr-CA"/>
        </w:rPr>
        <w:t> </w:t>
      </w:r>
      <w:r w:rsidRPr="008166D7">
        <w:rPr>
          <w:rFonts w:eastAsia="Gadugi"/>
          <w:lang w:bidi="fr-CA"/>
        </w:rPr>
        <w:t>» et ceux des affectations intérimaires. La SÉQ a indiqué que, dans ces situations, les membres du personnel ne devaient s</w:t>
      </w:r>
      <w:r w:rsidR="00296C2D">
        <w:rPr>
          <w:rFonts w:eastAsia="Gadugi"/>
          <w:lang w:bidi="fr-CA"/>
        </w:rPr>
        <w:t>’</w:t>
      </w:r>
      <w:r w:rsidRPr="008166D7">
        <w:rPr>
          <w:rFonts w:eastAsia="Gadugi"/>
          <w:lang w:bidi="fr-CA"/>
        </w:rPr>
        <w:t>occuper que des tâches prioritaires de chaque poste. Le CETES craint que la SÉQ se retrouve dans une position précaire si les postes vacants continuent d</w:t>
      </w:r>
      <w:r w:rsidR="00296C2D">
        <w:rPr>
          <w:rFonts w:eastAsia="Gadugi"/>
          <w:lang w:bidi="fr-CA"/>
        </w:rPr>
        <w:t>’</w:t>
      </w:r>
      <w:r w:rsidRPr="008166D7">
        <w:rPr>
          <w:rFonts w:eastAsia="Gadugi"/>
          <w:lang w:bidi="fr-CA"/>
        </w:rPr>
        <w:t>être pourvus de cette manière à long terme. Cela présente des risques pour la SÉQ, notamment la sécurité des employés, l</w:t>
      </w:r>
      <w:r w:rsidR="00296C2D">
        <w:rPr>
          <w:rFonts w:eastAsia="Gadugi"/>
          <w:lang w:bidi="fr-CA"/>
        </w:rPr>
        <w:t>’</w:t>
      </w:r>
      <w:r w:rsidRPr="008166D7">
        <w:rPr>
          <w:rFonts w:eastAsia="Gadugi"/>
          <w:lang w:bidi="fr-CA"/>
        </w:rPr>
        <w:t>épuisement du personnel, le roulement du personnel et la possibilité que des questions soient ignorées ou passent inaperçues pendant de longues périodes, ce qui pourrait entra</w:t>
      </w:r>
      <w:r w:rsidR="00AD7DDC">
        <w:rPr>
          <w:rFonts w:eastAsia="Gadugi"/>
          <w:lang w:bidi="fr-CA"/>
        </w:rPr>
        <w:t>i</w:t>
      </w:r>
      <w:r w:rsidRPr="008166D7">
        <w:rPr>
          <w:rFonts w:eastAsia="Gadugi"/>
          <w:lang w:bidi="fr-CA"/>
        </w:rPr>
        <w:t>ner une augmentation des co</w:t>
      </w:r>
      <w:r w:rsidR="00AD7DDC">
        <w:rPr>
          <w:rFonts w:eastAsia="Gadugi"/>
          <w:lang w:bidi="fr-CA"/>
        </w:rPr>
        <w:t>u</w:t>
      </w:r>
      <w:r w:rsidRPr="008166D7">
        <w:rPr>
          <w:rFonts w:eastAsia="Gadugi"/>
          <w:lang w:bidi="fr-CA"/>
        </w:rPr>
        <w:t>ts pour la SÉQ ou des occasions manquées, des inefficacités et des interruptions de service potentielles. Si un travail non prioritaire peut être «</w:t>
      </w:r>
      <w:r w:rsidR="00296C2D">
        <w:rPr>
          <w:rFonts w:eastAsia="Gadugi"/>
          <w:lang w:bidi="fr-CA"/>
        </w:rPr>
        <w:t> </w:t>
      </w:r>
      <w:r w:rsidRPr="008166D7">
        <w:rPr>
          <w:rFonts w:eastAsia="Gadugi"/>
          <w:lang w:bidi="fr-CA"/>
        </w:rPr>
        <w:t>suspendu</w:t>
      </w:r>
      <w:r w:rsidR="00296C2D">
        <w:rPr>
          <w:rFonts w:eastAsia="Gadugi"/>
          <w:lang w:bidi="fr-CA"/>
        </w:rPr>
        <w:t> </w:t>
      </w:r>
      <w:r w:rsidRPr="008166D7">
        <w:rPr>
          <w:rFonts w:eastAsia="Gadugi"/>
          <w:lang w:bidi="fr-CA"/>
        </w:rPr>
        <w:t>» pendant une période prolongée, on peut s</w:t>
      </w:r>
      <w:r w:rsidR="00296C2D">
        <w:rPr>
          <w:rFonts w:eastAsia="Gadugi"/>
          <w:lang w:bidi="fr-CA"/>
        </w:rPr>
        <w:t>’</w:t>
      </w:r>
      <w:r w:rsidRPr="008166D7">
        <w:rPr>
          <w:rFonts w:eastAsia="Gadugi"/>
          <w:lang w:bidi="fr-CA"/>
        </w:rPr>
        <w:t>interroger sur l</w:t>
      </w:r>
      <w:r w:rsidR="00296C2D">
        <w:rPr>
          <w:rFonts w:eastAsia="Gadugi"/>
          <w:lang w:bidi="fr-CA"/>
        </w:rPr>
        <w:t>’</w:t>
      </w:r>
      <w:r w:rsidRPr="008166D7">
        <w:rPr>
          <w:rFonts w:eastAsia="Gadugi"/>
          <w:lang w:bidi="fr-CA"/>
        </w:rPr>
        <w:t>utilité d</w:t>
      </w:r>
      <w:r w:rsidR="00296C2D">
        <w:rPr>
          <w:rFonts w:eastAsia="Gadugi"/>
          <w:lang w:bidi="fr-CA"/>
        </w:rPr>
        <w:t>’</w:t>
      </w:r>
      <w:r w:rsidRPr="008166D7">
        <w:rPr>
          <w:rFonts w:eastAsia="Gadugi"/>
          <w:lang w:bidi="fr-CA"/>
        </w:rPr>
        <w:t>affecter du personnel à l</w:t>
      </w:r>
      <w:r w:rsidR="00296C2D">
        <w:rPr>
          <w:rFonts w:eastAsia="Gadugi"/>
          <w:lang w:bidi="fr-CA"/>
        </w:rPr>
        <w:t>’</w:t>
      </w:r>
      <w:r w:rsidRPr="008166D7">
        <w:rPr>
          <w:rFonts w:eastAsia="Gadugi"/>
          <w:lang w:bidi="fr-CA"/>
        </w:rPr>
        <w:t>exécution de ces tâches non</w:t>
      </w:r>
      <w:r w:rsidR="00563FA3">
        <w:rPr>
          <w:rFonts w:eastAsia="Gadugi"/>
          <w:lang w:bidi="fr-CA"/>
        </w:rPr>
        <w:t xml:space="preserve"> </w:t>
      </w:r>
      <w:r w:rsidRPr="008166D7">
        <w:rPr>
          <w:rFonts w:eastAsia="Gadugi"/>
          <w:lang w:bidi="fr-CA"/>
        </w:rPr>
        <w:t>essentielles dans le cadre des fonctions habituelles.</w:t>
      </w:r>
    </w:p>
    <w:p w14:paraId="7262C903" w14:textId="07383360" w:rsidR="00DE39BF" w:rsidRPr="008166D7" w:rsidRDefault="00813998" w:rsidP="004C2FAA">
      <w:pPr>
        <w:pStyle w:val="Corpsdetexte"/>
        <w:ind w:hanging="530"/>
      </w:pPr>
      <w:r w:rsidRPr="008166D7">
        <w:rPr>
          <w:rFonts w:eastAsia="Gadugi"/>
          <w:lang w:bidi="fr-CA"/>
        </w:rPr>
        <w:t>Le CETES a interrogé la SÉQ sur sa dotation en personnel et sa capacité à gérer les exigences en matière d</w:t>
      </w:r>
      <w:r w:rsidR="00296C2D">
        <w:rPr>
          <w:rFonts w:eastAsia="Gadugi"/>
          <w:lang w:bidi="fr-CA"/>
        </w:rPr>
        <w:t>’</w:t>
      </w:r>
      <w:r w:rsidRPr="008166D7">
        <w:rPr>
          <w:rFonts w:eastAsia="Gadugi"/>
          <w:lang w:bidi="fr-CA"/>
        </w:rPr>
        <w:t>ingénierie, de gestion de projet, de comptabilité, d</w:t>
      </w:r>
      <w:r w:rsidR="00296C2D">
        <w:rPr>
          <w:rFonts w:eastAsia="Gadugi"/>
          <w:lang w:bidi="fr-CA"/>
        </w:rPr>
        <w:t>’</w:t>
      </w:r>
      <w:r w:rsidRPr="008166D7">
        <w:rPr>
          <w:rFonts w:eastAsia="Gadugi"/>
          <w:lang w:bidi="fr-CA"/>
        </w:rPr>
        <w:t>achat et autres de plusieurs grands projets dans les DPPM récents. La SÉQ a assuré au CETES qu</w:t>
      </w:r>
      <w:r w:rsidR="00296C2D">
        <w:rPr>
          <w:rFonts w:eastAsia="Gadugi"/>
          <w:lang w:bidi="fr-CA"/>
        </w:rPr>
        <w:t>’</w:t>
      </w:r>
      <w:r w:rsidRPr="008166D7">
        <w:rPr>
          <w:rFonts w:eastAsia="Gadugi"/>
          <w:lang w:bidi="fr-CA"/>
        </w:rPr>
        <w:t>elle a la capacité et les moyens de mener à bien les projets, même avec l</w:t>
      </w:r>
      <w:r w:rsidR="00296C2D">
        <w:rPr>
          <w:rFonts w:eastAsia="Gadugi"/>
          <w:lang w:bidi="fr-CA"/>
        </w:rPr>
        <w:t>’</w:t>
      </w:r>
      <w:r w:rsidRPr="008166D7">
        <w:rPr>
          <w:rFonts w:eastAsia="Gadugi"/>
          <w:lang w:bidi="fr-CA"/>
        </w:rPr>
        <w:t xml:space="preserve">approbation de projets multiples, souvent simultanés. </w:t>
      </w:r>
    </w:p>
    <w:p w14:paraId="7262C904" w14:textId="2D8C67EC" w:rsidR="00DE39BF" w:rsidRPr="008166D7" w:rsidRDefault="00813998" w:rsidP="004C2FAA">
      <w:pPr>
        <w:pStyle w:val="Corpsdetexte"/>
        <w:ind w:hanging="530"/>
      </w:pPr>
      <w:r w:rsidRPr="008166D7">
        <w:rPr>
          <w:rFonts w:eastAsia="Gadugi"/>
          <w:lang w:bidi="fr-CA"/>
        </w:rPr>
        <w:t>Le CETES continue à avoir des inquiétudes concernant les postes vacants et les affectations intérimaires de la SÉQ, en particulier dans les rôles de direction, et dans les rôles liés à la construction des six projets de centrales électriques (qui ont fait l</w:t>
      </w:r>
      <w:r w:rsidR="00296C2D">
        <w:rPr>
          <w:rFonts w:eastAsia="Gadugi"/>
          <w:lang w:bidi="fr-CA"/>
        </w:rPr>
        <w:t>’</w:t>
      </w:r>
      <w:r w:rsidRPr="008166D7">
        <w:rPr>
          <w:rFonts w:eastAsia="Gadugi"/>
          <w:lang w:bidi="fr-CA"/>
        </w:rPr>
        <w:t>objet de récents DPPM) où les risques et les effets/co</w:t>
      </w:r>
      <w:r w:rsidR="00AD7DDC">
        <w:rPr>
          <w:rFonts w:eastAsia="Gadugi"/>
          <w:lang w:bidi="fr-CA"/>
        </w:rPr>
        <w:t>u</w:t>
      </w:r>
      <w:r w:rsidRPr="008166D7">
        <w:rPr>
          <w:rFonts w:eastAsia="Gadugi"/>
          <w:lang w:bidi="fr-CA"/>
        </w:rPr>
        <w:t xml:space="preserve">ts potentiels des erreurs et des omissions sont beaucoup plus importants pour la SÉQ. </w:t>
      </w:r>
    </w:p>
    <w:p w14:paraId="7262C905" w14:textId="66978467" w:rsidR="004C2FAA" w:rsidRPr="008166D7" w:rsidRDefault="00813998" w:rsidP="004C2FAA">
      <w:pPr>
        <w:pStyle w:val="Corpsdetexte"/>
        <w:ind w:hanging="530"/>
      </w:pPr>
      <w:r w:rsidRPr="008166D7">
        <w:rPr>
          <w:rFonts w:eastAsia="Gadugi"/>
          <w:lang w:bidi="fr-CA"/>
        </w:rPr>
        <w:t>Sous réserve des précautions susmentionnées, le CETES recommande d</w:t>
      </w:r>
      <w:r w:rsidR="00296C2D">
        <w:rPr>
          <w:rFonts w:eastAsia="Gadugi"/>
          <w:lang w:bidi="fr-CA"/>
        </w:rPr>
        <w:t>’</w:t>
      </w:r>
      <w:r w:rsidRPr="008166D7">
        <w:rPr>
          <w:rFonts w:eastAsia="Gadugi"/>
          <w:lang w:bidi="fr-CA"/>
        </w:rPr>
        <w:t>approuver les prévisions relatives aux traitements et salaires pour 2022-2023.</w:t>
      </w:r>
    </w:p>
    <w:p w14:paraId="7262C906"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F et E – FOURNITURES ET SERVICES</w:t>
      </w:r>
    </w:p>
    <w:p w14:paraId="7262C908" w14:textId="0807AFE0" w:rsidR="00E145FF" w:rsidRPr="008166D7" w:rsidRDefault="00813998" w:rsidP="004C2FAA">
      <w:pPr>
        <w:pStyle w:val="Corpsdetexte"/>
        <w:ind w:hanging="530"/>
      </w:pPr>
      <w:r w:rsidRPr="008166D7">
        <w:rPr>
          <w:rFonts w:eastAsia="Gadugi"/>
          <w:lang w:bidi="fr-CA"/>
        </w:rPr>
        <w:t xml:space="preserve">La SÉQ a fourni des détails concernant ses prévisions de fournitures et de services pour 2022-2023 de 22,204 millions de dollars dans le tableau 4.3 de la demande, soit une </w:t>
      </w:r>
      <w:r w:rsidRPr="008166D7">
        <w:rPr>
          <w:rFonts w:eastAsia="Gadugi"/>
          <w:lang w:bidi="fr-CA"/>
        </w:rPr>
        <w:lastRenderedPageBreak/>
        <w:t>diminution de 1,255 million de dollars par rapport à la RMTG de 2018-2019. Cette diminution reflète principalement une baisse moyenne de 1,4 % par an, essentiellement due à la réduction des dépenses en matériaux, services externes et fret</w:t>
      </w:r>
      <w:r w:rsidR="00AD7DDC">
        <w:rPr>
          <w:rFonts w:eastAsia="Gadugi"/>
          <w:lang w:bidi="fr-CA"/>
        </w:rPr>
        <w:t>s</w:t>
      </w:r>
      <w:r w:rsidRPr="008166D7">
        <w:rPr>
          <w:rFonts w:eastAsia="Gadugi"/>
          <w:lang w:bidi="fr-CA"/>
        </w:rPr>
        <w:t>, partiellement compensée par une augmentation des dépenses liées aux assurances.</w:t>
      </w:r>
    </w:p>
    <w:p w14:paraId="7262C909" w14:textId="2E9865A2" w:rsidR="00795967" w:rsidRPr="008166D7" w:rsidRDefault="00813998" w:rsidP="004C2FAA">
      <w:pPr>
        <w:pStyle w:val="Corpsdetexte"/>
        <w:ind w:hanging="530"/>
      </w:pPr>
      <w:r w:rsidRPr="008166D7">
        <w:rPr>
          <w:rFonts w:eastAsia="Gadugi"/>
          <w:lang w:bidi="fr-CA"/>
        </w:rPr>
        <w:t>Le CETES a demandé des informations complémentaires sur les fournitures et les services. La SÉQ a fourni des informations utiles dans sa réponse à la DI URRC-QEC-1-16, en indiquant que les prévisions réduites pour les matériaux et les services externes reflètent la disponibilité réduite des matériaux et des services externes en raison des perturbations liées à la COVID-19 dans la cha</w:t>
      </w:r>
      <w:r w:rsidR="00AD7DDC">
        <w:rPr>
          <w:rFonts w:eastAsia="Gadugi"/>
          <w:lang w:bidi="fr-CA"/>
        </w:rPr>
        <w:t>i</w:t>
      </w:r>
      <w:r w:rsidRPr="008166D7">
        <w:rPr>
          <w:rFonts w:eastAsia="Gadugi"/>
          <w:lang w:bidi="fr-CA"/>
        </w:rPr>
        <w:t>ne d</w:t>
      </w:r>
      <w:r w:rsidR="00296C2D">
        <w:rPr>
          <w:rFonts w:eastAsia="Gadugi"/>
          <w:lang w:bidi="fr-CA"/>
        </w:rPr>
        <w:t>’</w:t>
      </w:r>
      <w:r w:rsidRPr="008166D7">
        <w:rPr>
          <w:rFonts w:eastAsia="Gadugi"/>
          <w:lang w:bidi="fr-CA"/>
        </w:rPr>
        <w:t>approvisionnement sur les travaux d</w:t>
      </w:r>
      <w:r w:rsidR="00296C2D">
        <w:rPr>
          <w:rFonts w:eastAsia="Gadugi"/>
          <w:lang w:bidi="fr-CA"/>
        </w:rPr>
        <w:t>’</w:t>
      </w:r>
      <w:r w:rsidRPr="008166D7">
        <w:rPr>
          <w:rFonts w:eastAsia="Gadugi"/>
          <w:lang w:bidi="fr-CA"/>
        </w:rPr>
        <w:t>entretien général.</w:t>
      </w:r>
    </w:p>
    <w:p w14:paraId="7262C90A" w14:textId="6B8B5CC4" w:rsidR="00EF0187" w:rsidRPr="008166D7" w:rsidRDefault="00813998" w:rsidP="004C2FAA">
      <w:pPr>
        <w:pStyle w:val="Corpsdetexte"/>
        <w:ind w:hanging="530"/>
      </w:pPr>
      <w:r w:rsidRPr="008166D7">
        <w:rPr>
          <w:rFonts w:eastAsia="Gadugi"/>
          <w:lang w:bidi="fr-CA"/>
        </w:rPr>
        <w:t>Le CETES indique que la SÉQ semble avoir résolu la plupart, sinon la totalité, des problèmes d</w:t>
      </w:r>
      <w:r w:rsidR="00296C2D">
        <w:rPr>
          <w:rFonts w:eastAsia="Gadugi"/>
          <w:lang w:bidi="fr-CA"/>
        </w:rPr>
        <w:t>’</w:t>
      </w:r>
      <w:r w:rsidRPr="008166D7">
        <w:rPr>
          <w:rFonts w:eastAsia="Gadugi"/>
          <w:lang w:bidi="fr-CA"/>
        </w:rPr>
        <w:t>inventaire soulevés dans les rapports précédents du CETES et dans les conclusions du vérificateur général du Canada.</w:t>
      </w:r>
    </w:p>
    <w:p w14:paraId="7262C90B" w14:textId="77777777" w:rsidR="00795967" w:rsidRPr="008166D7" w:rsidRDefault="00813998" w:rsidP="00795967">
      <w:pPr>
        <w:pStyle w:val="Corpsdetexte"/>
        <w:ind w:hanging="530"/>
      </w:pPr>
      <w:r w:rsidRPr="008166D7">
        <w:rPr>
          <w:rFonts w:eastAsia="Gadugi"/>
          <w:lang w:bidi="fr-CA"/>
        </w:rPr>
        <w:t>Le CETES estime que les prévisions relatives aux fournitures et aux services pour 2022-2023 sont raisonnables.</w:t>
      </w:r>
    </w:p>
    <w:p w14:paraId="7262C90C"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t>F et E – DÉPLACEMENTS ET HÉBERGEMENT</w:t>
      </w:r>
    </w:p>
    <w:p w14:paraId="7262C90E" w14:textId="3987F6D3" w:rsidR="004C2FAA" w:rsidRPr="008166D7" w:rsidRDefault="00813998" w:rsidP="004C2FAA">
      <w:pPr>
        <w:pStyle w:val="Corpsdetexte"/>
        <w:ind w:hanging="530"/>
      </w:pPr>
      <w:r w:rsidRPr="008166D7">
        <w:rPr>
          <w:rFonts w:eastAsia="Gadugi"/>
          <w:lang w:bidi="fr-CA"/>
        </w:rPr>
        <w:t>La SÉQ a fourni des détails concernant ses prévisions de déplacements et d</w:t>
      </w:r>
      <w:r w:rsidR="00296C2D">
        <w:rPr>
          <w:rFonts w:eastAsia="Gadugi"/>
          <w:lang w:bidi="fr-CA"/>
        </w:rPr>
        <w:t>’</w:t>
      </w:r>
      <w:r w:rsidRPr="008166D7">
        <w:rPr>
          <w:rFonts w:eastAsia="Gadugi"/>
          <w:lang w:bidi="fr-CA"/>
        </w:rPr>
        <w:t>hébergement pour 2022-2023 de 5,909 millions de dollars dans le tableau 4.3 de la demande, soit une augmentation de 0,592 million de dollars par rapport à la RMTG de 2018-2019. Cette augmentation représente une hausse annuelle de 2,7 %.</w:t>
      </w:r>
    </w:p>
    <w:p w14:paraId="7262C90F" w14:textId="418078A7" w:rsidR="00D73CCC" w:rsidRPr="008166D7" w:rsidRDefault="00813998" w:rsidP="00D73CCC">
      <w:pPr>
        <w:pStyle w:val="Corpsdetexte"/>
        <w:ind w:hanging="530"/>
      </w:pPr>
      <w:r w:rsidRPr="008166D7">
        <w:rPr>
          <w:rFonts w:eastAsia="Gadugi"/>
          <w:lang w:bidi="fr-CA"/>
        </w:rPr>
        <w:t>Le CETES a demandé des informations complémentaires sur les déplacements et l</w:t>
      </w:r>
      <w:r w:rsidR="00296C2D">
        <w:rPr>
          <w:rFonts w:eastAsia="Gadugi"/>
          <w:lang w:bidi="fr-CA"/>
        </w:rPr>
        <w:t>’</w:t>
      </w:r>
      <w:r w:rsidRPr="008166D7">
        <w:rPr>
          <w:rFonts w:eastAsia="Gadugi"/>
          <w:lang w:bidi="fr-CA"/>
        </w:rPr>
        <w:t>hébergement. La SÉQ a fourni des informations utiles dans sa réponse à la DI URRC-QEC-1-17, indiquant que l</w:t>
      </w:r>
      <w:r w:rsidR="00296C2D">
        <w:rPr>
          <w:rFonts w:eastAsia="Gadugi"/>
          <w:lang w:bidi="fr-CA"/>
        </w:rPr>
        <w:t>’</w:t>
      </w:r>
      <w:r w:rsidRPr="008166D7">
        <w:rPr>
          <w:rFonts w:eastAsia="Gadugi"/>
          <w:lang w:bidi="fr-CA"/>
        </w:rPr>
        <w:t>augmentation des prévisions pour les déplacements et l</w:t>
      </w:r>
      <w:r w:rsidR="00296C2D">
        <w:rPr>
          <w:rFonts w:eastAsia="Gadugi"/>
          <w:lang w:bidi="fr-CA"/>
        </w:rPr>
        <w:t>’</w:t>
      </w:r>
      <w:r w:rsidRPr="008166D7">
        <w:rPr>
          <w:rFonts w:eastAsia="Gadugi"/>
          <w:lang w:bidi="fr-CA"/>
        </w:rPr>
        <w:t>hébergement reflète la hausse des frais de déplacement pour soins médicaux.</w:t>
      </w:r>
    </w:p>
    <w:p w14:paraId="7262C910" w14:textId="63E3F88E" w:rsidR="00D73CCC" w:rsidRPr="008166D7" w:rsidRDefault="00813998" w:rsidP="00D73CCC">
      <w:pPr>
        <w:pStyle w:val="Corpsdetexte"/>
        <w:ind w:hanging="530"/>
      </w:pPr>
      <w:r w:rsidRPr="008166D7">
        <w:rPr>
          <w:rFonts w:eastAsia="Gadugi"/>
          <w:lang w:bidi="fr-CA"/>
        </w:rPr>
        <w:t>Le CETES estime que les prévisions relatives aux déplacements et à l</w:t>
      </w:r>
      <w:r w:rsidR="00296C2D">
        <w:rPr>
          <w:rFonts w:eastAsia="Gadugi"/>
          <w:lang w:bidi="fr-CA"/>
        </w:rPr>
        <w:t>’</w:t>
      </w:r>
      <w:r w:rsidRPr="008166D7">
        <w:rPr>
          <w:rFonts w:eastAsia="Gadugi"/>
          <w:lang w:bidi="fr-CA"/>
        </w:rPr>
        <w:t>hébergement pour 2022-2023 sont raisonnables.</w:t>
      </w:r>
    </w:p>
    <w:p w14:paraId="7262C911" w14:textId="77777777" w:rsidR="004C2FAA" w:rsidRPr="008166D7" w:rsidRDefault="00813998" w:rsidP="004C2FAA">
      <w:pPr>
        <w:pStyle w:val="Heading3URRC"/>
        <w:rPr>
          <w:rFonts w:ascii="Times New Roman" w:hAnsi="Times New Roman"/>
        </w:rPr>
      </w:pPr>
      <w:r w:rsidRPr="008166D7">
        <w:rPr>
          <w:rFonts w:ascii="Times New Roman" w:eastAsia="Gadugi" w:hAnsi="Times New Roman"/>
          <w:lang w:bidi="fr-CA"/>
        </w:rPr>
        <w:lastRenderedPageBreak/>
        <w:t>F ET E – RESTAURATION DES SITES ET DÉPENSES CONNEXES</w:t>
      </w:r>
    </w:p>
    <w:p w14:paraId="7262C913" w14:textId="0310C7EC" w:rsidR="00146C6A" w:rsidRPr="008166D7" w:rsidRDefault="00813998" w:rsidP="00C67278">
      <w:pPr>
        <w:pStyle w:val="Corpsdetexte"/>
        <w:ind w:hanging="530"/>
      </w:pPr>
      <w:r w:rsidRPr="008166D7">
        <w:rPr>
          <w:rFonts w:eastAsia="Gadugi"/>
          <w:lang w:bidi="fr-CA"/>
        </w:rPr>
        <w:t>La SÉQ a fourni des détails concernant ses prévisions de restauration des sites et les dépenses connexes de 0,161</w:t>
      </w:r>
      <w:r w:rsidR="00296C2D">
        <w:rPr>
          <w:rFonts w:eastAsia="Gadugi"/>
          <w:lang w:bidi="fr-CA"/>
        </w:rPr>
        <w:t> </w:t>
      </w:r>
      <w:r w:rsidRPr="008166D7">
        <w:rPr>
          <w:rFonts w:eastAsia="Gadugi"/>
          <w:lang w:bidi="fr-CA"/>
        </w:rPr>
        <w:t>million de dollars pour 2022-2023 dans le tableau</w:t>
      </w:r>
      <w:r w:rsidR="00296C2D">
        <w:rPr>
          <w:rFonts w:eastAsia="Gadugi"/>
          <w:lang w:bidi="fr-CA"/>
        </w:rPr>
        <w:t> </w:t>
      </w:r>
      <w:r w:rsidRPr="008166D7">
        <w:rPr>
          <w:rFonts w:eastAsia="Gadugi"/>
          <w:lang w:bidi="fr-CA"/>
        </w:rPr>
        <w:t>4.3 de la demande. La SÉQ a indiqué que le montant prévu reste inchangé par rapport à la RMTG de 2018-2019.</w:t>
      </w:r>
    </w:p>
    <w:p w14:paraId="7262C914" w14:textId="7FA84A2B" w:rsidR="00146C6A" w:rsidRPr="008166D7" w:rsidRDefault="00813998" w:rsidP="00C67278">
      <w:pPr>
        <w:pStyle w:val="Corpsdetexte"/>
        <w:ind w:hanging="530"/>
      </w:pPr>
      <w:r w:rsidRPr="008166D7">
        <w:rPr>
          <w:rFonts w:eastAsia="Gadugi"/>
          <w:lang w:bidi="fr-CA"/>
        </w:rPr>
        <w:t>Le CETES a demandé des informations complémentaires sur les dépenses de restauration des sites. La SÉQ a fourni des informations utiles dans sa réponse à la DI URRC-QEC-2-10, en indiquant qu</w:t>
      </w:r>
      <w:r w:rsidR="00296C2D">
        <w:rPr>
          <w:rFonts w:eastAsia="Gadugi"/>
          <w:lang w:bidi="fr-CA"/>
        </w:rPr>
        <w:t>’</w:t>
      </w:r>
      <w:r w:rsidRPr="008166D7">
        <w:rPr>
          <w:rFonts w:eastAsia="Gadugi"/>
          <w:lang w:bidi="fr-CA"/>
        </w:rPr>
        <w:t>elle estime toujours que l</w:t>
      </w:r>
      <w:r w:rsidR="00296C2D">
        <w:rPr>
          <w:rFonts w:eastAsia="Gadugi"/>
          <w:lang w:bidi="fr-CA"/>
        </w:rPr>
        <w:t>’</w:t>
      </w:r>
      <w:r w:rsidRPr="008166D7">
        <w:rPr>
          <w:rFonts w:eastAsia="Gadugi"/>
          <w:lang w:bidi="fr-CA"/>
        </w:rPr>
        <w:t>estimation de la RMTG de 2010-2011 est raisonnable. La SÉQ a également noté qu</w:t>
      </w:r>
      <w:r w:rsidR="00296C2D">
        <w:rPr>
          <w:rFonts w:eastAsia="Gadugi"/>
          <w:lang w:bidi="fr-CA"/>
        </w:rPr>
        <w:t>’</w:t>
      </w:r>
      <w:r w:rsidRPr="008166D7">
        <w:rPr>
          <w:rFonts w:eastAsia="Gadugi"/>
          <w:lang w:bidi="fr-CA"/>
        </w:rPr>
        <w:t>une initiative est en cours pour mettre en œuvre de nouvelles normes comptables pour le secteur public (NCSP) sur les obligations liées à la mise hors service d</w:t>
      </w:r>
      <w:r w:rsidR="00296C2D">
        <w:rPr>
          <w:rFonts w:eastAsia="Gadugi"/>
          <w:lang w:bidi="fr-CA"/>
        </w:rPr>
        <w:t>’</w:t>
      </w:r>
      <w:r w:rsidRPr="008166D7">
        <w:rPr>
          <w:rFonts w:eastAsia="Gadugi"/>
          <w:lang w:bidi="fr-CA"/>
        </w:rPr>
        <w:t>immobilisations (SP3280), dont les travaux sont prévus pour juin 2022.</w:t>
      </w:r>
    </w:p>
    <w:p w14:paraId="7262C915" w14:textId="078D5964" w:rsidR="00146C6A" w:rsidRPr="008166D7" w:rsidRDefault="00813998" w:rsidP="00146C6A">
      <w:pPr>
        <w:pStyle w:val="Corpsdetexte"/>
        <w:ind w:hanging="530"/>
      </w:pPr>
      <w:r w:rsidRPr="008166D7">
        <w:rPr>
          <w:rFonts w:eastAsia="Gadugi"/>
          <w:lang w:bidi="fr-CA"/>
        </w:rPr>
        <w:t>Le CETES estime que les prévisions relatives aux dépenses de restauration des sites pour 2022-2023 devraient refléter les travaux de restauration estimés pour l</w:t>
      </w:r>
      <w:r w:rsidR="00296C2D">
        <w:rPr>
          <w:rFonts w:eastAsia="Gadugi"/>
          <w:lang w:bidi="fr-CA"/>
        </w:rPr>
        <w:t>’</w:t>
      </w:r>
      <w:r w:rsidRPr="008166D7">
        <w:rPr>
          <w:rFonts w:eastAsia="Gadugi"/>
          <w:lang w:bidi="fr-CA"/>
        </w:rPr>
        <w:t>exercice de référence, et non des prévisions datant de plus de 10 ans. Le CETES comprend qu</w:t>
      </w:r>
      <w:r w:rsidR="00296C2D">
        <w:rPr>
          <w:rFonts w:eastAsia="Gadugi"/>
          <w:lang w:bidi="fr-CA"/>
        </w:rPr>
        <w:t>’</w:t>
      </w:r>
      <w:r w:rsidRPr="008166D7">
        <w:rPr>
          <w:rFonts w:eastAsia="Gadugi"/>
          <w:lang w:bidi="fr-CA"/>
        </w:rPr>
        <w:t>une période d</w:t>
      </w:r>
      <w:r w:rsidR="00296C2D">
        <w:rPr>
          <w:rFonts w:eastAsia="Gadugi"/>
          <w:lang w:bidi="fr-CA"/>
        </w:rPr>
        <w:t>’</w:t>
      </w:r>
      <w:r w:rsidRPr="008166D7">
        <w:rPr>
          <w:rFonts w:eastAsia="Gadugi"/>
          <w:lang w:bidi="fr-CA"/>
        </w:rPr>
        <w:t>un an peut ne pas refléter les travaux de restauration en cours sur le site de la SÉQ, mais on pourrait en dire autant pour les autres catégories de besoins en revenus de la SÉQ.</w:t>
      </w:r>
    </w:p>
    <w:p w14:paraId="7262C916" w14:textId="0A6390B1" w:rsidR="004C2FAA" w:rsidRPr="008166D7" w:rsidRDefault="00813998" w:rsidP="004C2FAA">
      <w:pPr>
        <w:pStyle w:val="Corpsdetexte"/>
        <w:ind w:hanging="530"/>
      </w:pPr>
      <w:r w:rsidRPr="008166D7">
        <w:rPr>
          <w:rFonts w:eastAsia="Gadugi"/>
          <w:lang w:bidi="fr-CA"/>
        </w:rPr>
        <w:t>Le CETES indique que les exigences relatives aux déclarations de la SÉQ concernant les obligations liées à la mise hors service d</w:t>
      </w:r>
      <w:r w:rsidR="00296C2D">
        <w:rPr>
          <w:rFonts w:eastAsia="Gadugi"/>
          <w:lang w:bidi="fr-CA"/>
        </w:rPr>
        <w:t>’</w:t>
      </w:r>
      <w:r w:rsidRPr="008166D7">
        <w:rPr>
          <w:rFonts w:eastAsia="Gadugi"/>
          <w:lang w:bidi="fr-CA"/>
        </w:rPr>
        <w:t>immobilisations peuvent changer à la suite des travaux sur le projet SP3280; néanmoins, le CETES recommande que la SÉQ estime les dépenses de restauration du site en fonction des travaux qu</w:t>
      </w:r>
      <w:r w:rsidR="00296C2D">
        <w:rPr>
          <w:rFonts w:eastAsia="Gadugi"/>
          <w:lang w:bidi="fr-CA"/>
        </w:rPr>
        <w:t>’</w:t>
      </w:r>
      <w:r w:rsidRPr="008166D7">
        <w:rPr>
          <w:rFonts w:eastAsia="Gadugi"/>
          <w:lang w:bidi="fr-CA"/>
        </w:rPr>
        <w:t>elle prévoit d</w:t>
      </w:r>
      <w:r w:rsidR="00296C2D">
        <w:rPr>
          <w:rFonts w:eastAsia="Gadugi"/>
          <w:lang w:bidi="fr-CA"/>
        </w:rPr>
        <w:t>’</w:t>
      </w:r>
      <w:r w:rsidRPr="008166D7">
        <w:rPr>
          <w:rFonts w:eastAsia="Gadugi"/>
          <w:lang w:bidi="fr-CA"/>
        </w:rPr>
        <w:t>entreprendre au cours de l</w:t>
      </w:r>
      <w:r w:rsidR="00296C2D">
        <w:rPr>
          <w:rFonts w:eastAsia="Gadugi"/>
          <w:lang w:bidi="fr-CA"/>
        </w:rPr>
        <w:t>’</w:t>
      </w:r>
      <w:r w:rsidRPr="008166D7">
        <w:rPr>
          <w:rFonts w:eastAsia="Gadugi"/>
          <w:lang w:bidi="fr-CA"/>
        </w:rPr>
        <w:t>exercice de référence.</w:t>
      </w:r>
    </w:p>
    <w:p w14:paraId="7262C917" w14:textId="77777777" w:rsidR="004C2FAA" w:rsidRPr="008166D7" w:rsidRDefault="00813998" w:rsidP="004C2FAA">
      <w:pPr>
        <w:pStyle w:val="Heading2URRC"/>
        <w:rPr>
          <w:rFonts w:ascii="Times New Roman" w:hAnsi="Times New Roman"/>
        </w:rPr>
      </w:pPr>
      <w:r w:rsidRPr="008166D7">
        <w:rPr>
          <w:rFonts w:ascii="Times New Roman" w:eastAsia="Gadugi" w:hAnsi="Times New Roman"/>
          <w:lang w:bidi="fr-CA"/>
        </w:rPr>
        <w:t>COMBUSTIBLE ET LUBRIFIANTS DES CENTRALES</w:t>
      </w:r>
    </w:p>
    <w:p w14:paraId="7262C919" w14:textId="6550BDF8" w:rsidR="00551DB7" w:rsidRPr="008166D7" w:rsidRDefault="00813998" w:rsidP="00C67278">
      <w:pPr>
        <w:pStyle w:val="Corpsdetexte"/>
        <w:ind w:hanging="530"/>
      </w:pPr>
      <w:r w:rsidRPr="008166D7">
        <w:rPr>
          <w:rFonts w:eastAsia="Gadugi"/>
          <w:lang w:bidi="fr-CA"/>
        </w:rPr>
        <w:t>La SÉQ a fourni des détails concernant ses prévisions de dépenses relatives aux combustibles et lubrifiants des centrales pour 2022-2023, qui s</w:t>
      </w:r>
      <w:r w:rsidR="00296C2D">
        <w:rPr>
          <w:rFonts w:eastAsia="Gadugi"/>
          <w:lang w:bidi="fr-CA"/>
        </w:rPr>
        <w:t>’</w:t>
      </w:r>
      <w:r w:rsidRPr="008166D7">
        <w:rPr>
          <w:rFonts w:eastAsia="Gadugi"/>
          <w:lang w:bidi="fr-CA"/>
        </w:rPr>
        <w:t xml:space="preserve">élèvent à 51,543 millions de dollars dans le tableau 4.4 de la demande, soit une augmentation de 2,723 millions de dollars par rapport à la RMTG de 2018-2019. </w:t>
      </w:r>
    </w:p>
    <w:p w14:paraId="7262C91A" w14:textId="18A905BA" w:rsidR="004C2FAA" w:rsidRPr="008166D7" w:rsidRDefault="00813998" w:rsidP="00551DB7">
      <w:pPr>
        <w:pStyle w:val="Corpsdetexte"/>
        <w:ind w:hanging="530"/>
      </w:pPr>
      <w:r w:rsidRPr="008166D7">
        <w:rPr>
          <w:rFonts w:eastAsia="Gadugi"/>
          <w:lang w:bidi="fr-CA"/>
        </w:rPr>
        <w:lastRenderedPageBreak/>
        <w:t>Le CETES a demandé des informations complémentaires sur les dépenses en combustible et lubrifiants des centrales. La SÉQ a fourni des informations utiles dans sa réponse à la DI URRC-QEC-1-18, ce qui a permis à la SÉQ de mieux comprendre l</w:t>
      </w:r>
      <w:r w:rsidR="00296C2D">
        <w:rPr>
          <w:rFonts w:eastAsia="Gadugi"/>
          <w:lang w:bidi="fr-CA"/>
        </w:rPr>
        <w:t>’</w:t>
      </w:r>
      <w:r w:rsidRPr="008166D7">
        <w:rPr>
          <w:rFonts w:eastAsia="Gadugi"/>
          <w:lang w:bidi="fr-CA"/>
        </w:rPr>
        <w:t>augmentation des dépenses.</w:t>
      </w:r>
    </w:p>
    <w:p w14:paraId="7262C91B" w14:textId="77777777" w:rsidR="004C2FAA" w:rsidRPr="008166D7" w:rsidRDefault="00813998" w:rsidP="004C2FAA">
      <w:pPr>
        <w:pStyle w:val="Corpsdetexte"/>
        <w:ind w:hanging="530"/>
      </w:pPr>
      <w:r w:rsidRPr="008166D7">
        <w:rPr>
          <w:rFonts w:eastAsia="Gadugi"/>
          <w:lang w:bidi="fr-CA"/>
        </w:rPr>
        <w:t>Le CETES estime que les prévisions pour 2022-2023 sont raisonnables, sous réserve de recommandations supplémentaires concernant le combustible des centrales dans les sections ci-dessous.</w:t>
      </w:r>
    </w:p>
    <w:p w14:paraId="7262C91C"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COMBUSTIBLE DES CENTRALES</w:t>
      </w:r>
    </w:p>
    <w:p w14:paraId="7262C91E" w14:textId="06E1A742" w:rsidR="00911CBD" w:rsidRPr="008166D7" w:rsidRDefault="00813998" w:rsidP="00911CBD">
      <w:pPr>
        <w:pStyle w:val="Corpsdetexte"/>
        <w:ind w:hanging="530"/>
      </w:pPr>
      <w:r w:rsidRPr="008166D7">
        <w:rPr>
          <w:rFonts w:eastAsia="Gadugi"/>
          <w:lang w:bidi="fr-CA"/>
        </w:rPr>
        <w:t>La SÉQ a fourni des détails sur les prévisions relatives au combustible des centrales pour 2022-2023. Le CETES indique que l</w:t>
      </w:r>
      <w:r w:rsidR="00296C2D">
        <w:rPr>
          <w:rFonts w:eastAsia="Gadugi"/>
          <w:lang w:bidi="fr-CA"/>
        </w:rPr>
        <w:t>’</w:t>
      </w:r>
      <w:r w:rsidRPr="008166D7">
        <w:rPr>
          <w:rFonts w:eastAsia="Gadugi"/>
          <w:lang w:bidi="fr-CA"/>
        </w:rPr>
        <w:t>augmentation de 2,605 millions de dollars en combustible des centrales est due à l</w:t>
      </w:r>
      <w:r w:rsidR="00296C2D">
        <w:rPr>
          <w:rFonts w:eastAsia="Gadugi"/>
          <w:lang w:bidi="fr-CA"/>
        </w:rPr>
        <w:t>’</w:t>
      </w:r>
      <w:r w:rsidRPr="008166D7">
        <w:rPr>
          <w:rFonts w:eastAsia="Gadugi"/>
          <w:lang w:bidi="fr-CA"/>
        </w:rPr>
        <w:t>augmentation des ventes et du prix du combustible/di</w:t>
      </w:r>
      <w:r w:rsidR="00AD7DDC">
        <w:rPr>
          <w:rFonts w:eastAsia="Gadugi"/>
          <w:lang w:bidi="fr-CA"/>
        </w:rPr>
        <w:t>é</w:t>
      </w:r>
      <w:r w:rsidRPr="008166D7">
        <w:rPr>
          <w:rFonts w:eastAsia="Gadugi"/>
          <w:lang w:bidi="fr-CA"/>
        </w:rPr>
        <w:t>sel, partiellement compensée par l</w:t>
      </w:r>
      <w:r w:rsidR="00296C2D">
        <w:rPr>
          <w:rFonts w:eastAsia="Gadugi"/>
          <w:lang w:bidi="fr-CA"/>
        </w:rPr>
        <w:t>’</w:t>
      </w:r>
      <w:r w:rsidRPr="008166D7">
        <w:rPr>
          <w:rFonts w:eastAsia="Gadugi"/>
          <w:lang w:bidi="fr-CA"/>
        </w:rPr>
        <w:t>amélioration de l’efficience énergétique, tel qu’indiqué aux pages 4</w:t>
      </w:r>
      <w:r w:rsidR="006B1FCC" w:rsidRPr="008166D7">
        <w:rPr>
          <w:rFonts w:eastAsia="Gadugi"/>
          <w:lang w:bidi="fr-CA"/>
        </w:rPr>
        <w:noBreakHyphen/>
      </w:r>
      <w:r w:rsidRPr="008166D7">
        <w:rPr>
          <w:rFonts w:eastAsia="Gadugi"/>
          <w:lang w:bidi="fr-CA"/>
        </w:rPr>
        <w:t>8 à 4-10 de la demande et comme le montre le tableau 4.4.</w:t>
      </w:r>
    </w:p>
    <w:p w14:paraId="7262C91F" w14:textId="1CD7AB2F" w:rsidR="00911CBD" w:rsidRPr="008166D7" w:rsidRDefault="00813998" w:rsidP="00911CBD">
      <w:pPr>
        <w:pStyle w:val="Corpsdetexte"/>
        <w:ind w:hanging="530"/>
      </w:pPr>
      <w:r w:rsidRPr="008166D7">
        <w:rPr>
          <w:rFonts w:eastAsia="Gadugi"/>
          <w:lang w:bidi="fr-CA"/>
        </w:rPr>
        <w:t>Le CETES a déjà commenté l</w:t>
      </w:r>
      <w:r w:rsidR="00296C2D">
        <w:rPr>
          <w:rFonts w:eastAsia="Gadugi"/>
          <w:lang w:bidi="fr-CA"/>
        </w:rPr>
        <w:t>’</w:t>
      </w:r>
      <w:r w:rsidRPr="008166D7">
        <w:rPr>
          <w:rFonts w:eastAsia="Gadugi"/>
          <w:lang w:bidi="fr-CA"/>
        </w:rPr>
        <w:t>augmentation du combustible des centrales et de l’efficience énergétique dans la section des prévisions relatives à la production du présent rapport. L</w:t>
      </w:r>
      <w:r w:rsidR="00296C2D">
        <w:rPr>
          <w:rFonts w:eastAsia="Gadugi"/>
          <w:lang w:bidi="fr-CA"/>
        </w:rPr>
        <w:t>’</w:t>
      </w:r>
      <w:r w:rsidRPr="008166D7">
        <w:rPr>
          <w:rFonts w:eastAsia="Gadugi"/>
          <w:lang w:bidi="fr-CA"/>
        </w:rPr>
        <w:t>augmentation de 1,317 million de dollars des dépenses en combustible des centrales due à l</w:t>
      </w:r>
      <w:r w:rsidR="00296C2D">
        <w:rPr>
          <w:rFonts w:eastAsia="Gadugi"/>
          <w:lang w:bidi="fr-CA"/>
        </w:rPr>
        <w:t>’</w:t>
      </w:r>
      <w:r w:rsidRPr="008166D7">
        <w:rPr>
          <w:rFonts w:eastAsia="Gadugi"/>
          <w:lang w:bidi="fr-CA"/>
        </w:rPr>
        <w:t>augmentation des ventes semble être raisonnable. Le CETES estime également que la diminution de 0,094 million de dollars due à l</w:t>
      </w:r>
      <w:r w:rsidR="00296C2D">
        <w:rPr>
          <w:rFonts w:eastAsia="Gadugi"/>
          <w:lang w:bidi="fr-CA"/>
        </w:rPr>
        <w:t>’</w:t>
      </w:r>
      <w:r w:rsidRPr="008166D7">
        <w:rPr>
          <w:rFonts w:eastAsia="Gadugi"/>
          <w:lang w:bidi="fr-CA"/>
        </w:rPr>
        <w:t>amélioration de l</w:t>
      </w:r>
      <w:r w:rsidR="00296C2D">
        <w:rPr>
          <w:rFonts w:eastAsia="Gadugi"/>
          <w:lang w:bidi="fr-CA"/>
        </w:rPr>
        <w:t>’</w:t>
      </w:r>
      <w:r w:rsidRPr="008166D7">
        <w:rPr>
          <w:rFonts w:eastAsia="Gadugi"/>
          <w:lang w:bidi="fr-CA"/>
        </w:rPr>
        <w:t>efficience énergétique est raisonnable, sous réserve des recommandations fournies dans la section sur les prévisions relatives à la production du présent rapport concernant la prise en compte de l</w:t>
      </w:r>
      <w:r w:rsidR="00296C2D">
        <w:rPr>
          <w:rFonts w:eastAsia="Gadugi"/>
          <w:lang w:bidi="fr-CA"/>
        </w:rPr>
        <w:t>’</w:t>
      </w:r>
      <w:r w:rsidRPr="008166D7">
        <w:rPr>
          <w:rFonts w:eastAsia="Gadugi"/>
          <w:lang w:bidi="fr-CA"/>
        </w:rPr>
        <w:t>efficience énergétique des nouvelles unités ou des unités ayant subi des modifications substantielles dans les prévisions lorsqu</w:t>
      </w:r>
      <w:r w:rsidR="00296C2D">
        <w:rPr>
          <w:rFonts w:eastAsia="Gadugi"/>
          <w:lang w:bidi="fr-CA"/>
        </w:rPr>
        <w:t>’</w:t>
      </w:r>
      <w:r w:rsidRPr="008166D7">
        <w:rPr>
          <w:rFonts w:eastAsia="Gadugi"/>
          <w:lang w:bidi="fr-CA"/>
        </w:rPr>
        <w:t>il est prévu qu</w:t>
      </w:r>
      <w:r w:rsidR="00296C2D">
        <w:rPr>
          <w:rFonts w:eastAsia="Gadugi"/>
          <w:lang w:bidi="fr-CA"/>
        </w:rPr>
        <w:t>’</w:t>
      </w:r>
      <w:r w:rsidRPr="008166D7">
        <w:rPr>
          <w:rFonts w:eastAsia="Gadugi"/>
          <w:lang w:bidi="fr-CA"/>
        </w:rPr>
        <w:t>elles soient installées (c</w:t>
      </w:r>
      <w:r w:rsidR="00296C2D">
        <w:rPr>
          <w:rFonts w:eastAsia="Gadugi"/>
          <w:lang w:bidi="fr-CA"/>
        </w:rPr>
        <w:t>’</w:t>
      </w:r>
      <w:r w:rsidRPr="008166D7">
        <w:rPr>
          <w:rFonts w:eastAsia="Gadugi"/>
          <w:lang w:bidi="fr-CA"/>
        </w:rPr>
        <w:t>est-à-dire pas après la fin de la période de pondération de trois</w:t>
      </w:r>
      <w:r w:rsidR="0068154A" w:rsidRPr="008166D7">
        <w:rPr>
          <w:rFonts w:eastAsia="Gadugi"/>
          <w:lang w:bidi="fr-CA"/>
        </w:rPr>
        <w:noBreakHyphen/>
      </w:r>
      <w:r w:rsidRPr="008166D7">
        <w:rPr>
          <w:rFonts w:eastAsia="Gadugi"/>
          <w:lang w:bidi="fr-CA"/>
        </w:rPr>
        <w:t>ans).</w:t>
      </w:r>
    </w:p>
    <w:p w14:paraId="7262C920" w14:textId="7EF0F4EB" w:rsidR="0030547D" w:rsidRPr="008166D7" w:rsidRDefault="00813998" w:rsidP="00911CBD">
      <w:pPr>
        <w:pStyle w:val="Corpsdetexte"/>
        <w:ind w:hanging="530"/>
      </w:pPr>
      <w:r w:rsidRPr="008166D7">
        <w:rPr>
          <w:rFonts w:eastAsia="Gadugi"/>
          <w:lang w:bidi="fr-CA"/>
        </w:rPr>
        <w:t>Le CETES a demandé à obtenir plus d</w:t>
      </w:r>
      <w:r w:rsidR="00296C2D">
        <w:rPr>
          <w:rFonts w:eastAsia="Gadugi"/>
          <w:lang w:bidi="fr-CA"/>
        </w:rPr>
        <w:t>’</w:t>
      </w:r>
      <w:r w:rsidRPr="008166D7">
        <w:rPr>
          <w:rFonts w:eastAsia="Gadugi"/>
          <w:lang w:bidi="fr-CA"/>
        </w:rPr>
        <w:t>informations sur les prévisions relatives au prix du combustible. Le rapport indique que le co</w:t>
      </w:r>
      <w:r w:rsidR="008166D7">
        <w:rPr>
          <w:rFonts w:eastAsia="Gadugi"/>
          <w:lang w:bidi="fr-CA"/>
        </w:rPr>
        <w:t>u</w:t>
      </w:r>
      <w:r w:rsidRPr="008166D7">
        <w:rPr>
          <w:rFonts w:eastAsia="Gadugi"/>
          <w:lang w:bidi="fr-CA"/>
        </w:rPr>
        <w:t>t du di</w:t>
      </w:r>
      <w:r w:rsidR="00AD7DDC">
        <w:rPr>
          <w:rFonts w:eastAsia="Gadugi"/>
          <w:lang w:bidi="fr-CA"/>
        </w:rPr>
        <w:t>é</w:t>
      </w:r>
      <w:r w:rsidRPr="008166D7">
        <w:rPr>
          <w:rFonts w:eastAsia="Gadugi"/>
          <w:lang w:bidi="fr-CA"/>
        </w:rPr>
        <w:t>sel devrait augmenter à 0,96 $ par litre, soit une hausse de 0,03 $ par litre par rapport à la RMTG de 2018-2019. Le CETES a indiqué que les prix du combustible à l</w:t>
      </w:r>
      <w:r w:rsidR="00296C2D">
        <w:rPr>
          <w:rFonts w:eastAsia="Gadugi"/>
          <w:lang w:bidi="fr-CA"/>
        </w:rPr>
        <w:t>’</w:t>
      </w:r>
      <w:r w:rsidRPr="008166D7">
        <w:rPr>
          <w:rFonts w:eastAsia="Gadugi"/>
          <w:lang w:bidi="fr-CA"/>
        </w:rPr>
        <w:t xml:space="preserve">échelle mondiale ont augmenté de </w:t>
      </w:r>
      <w:r w:rsidRPr="008166D7">
        <w:rPr>
          <w:rFonts w:eastAsia="Gadugi"/>
          <w:lang w:bidi="fr-CA"/>
        </w:rPr>
        <w:lastRenderedPageBreak/>
        <w:t>manière significative et a demandé à la SÉQ les prévisions relatives au co</w:t>
      </w:r>
      <w:r w:rsidR="008166D7">
        <w:rPr>
          <w:rFonts w:eastAsia="Gadugi"/>
          <w:lang w:bidi="fr-CA"/>
        </w:rPr>
        <w:t>u</w:t>
      </w:r>
      <w:r w:rsidRPr="008166D7">
        <w:rPr>
          <w:rFonts w:eastAsia="Gadugi"/>
          <w:lang w:bidi="fr-CA"/>
        </w:rPr>
        <w:t>t du di</w:t>
      </w:r>
      <w:r w:rsidR="00AD7DDC">
        <w:rPr>
          <w:rFonts w:eastAsia="Gadugi"/>
          <w:lang w:bidi="fr-CA"/>
        </w:rPr>
        <w:t>é</w:t>
      </w:r>
      <w:r w:rsidRPr="008166D7">
        <w:rPr>
          <w:rFonts w:eastAsia="Gadugi"/>
          <w:lang w:bidi="fr-CA"/>
        </w:rPr>
        <w:t>sel dans la DI URRC</w:t>
      </w:r>
      <w:r w:rsidR="00520977" w:rsidRPr="008166D7">
        <w:rPr>
          <w:rFonts w:eastAsia="Gadugi"/>
          <w:lang w:bidi="fr-CA"/>
        </w:rPr>
        <w:noBreakHyphen/>
      </w:r>
      <w:r w:rsidRPr="008166D7">
        <w:rPr>
          <w:rFonts w:eastAsia="Gadugi"/>
          <w:lang w:bidi="fr-CA"/>
        </w:rPr>
        <w:t>QEC-1-18.</w:t>
      </w:r>
    </w:p>
    <w:p w14:paraId="7262C921" w14:textId="3D9D79BD" w:rsidR="00DB71F1" w:rsidRPr="008166D7" w:rsidRDefault="00813998" w:rsidP="00911CBD">
      <w:pPr>
        <w:pStyle w:val="Corpsdetexte"/>
        <w:ind w:hanging="530"/>
      </w:pPr>
      <w:r w:rsidRPr="008166D7">
        <w:rPr>
          <w:rFonts w:eastAsia="Gadugi"/>
          <w:lang w:bidi="fr-CA"/>
        </w:rPr>
        <w:t>Le CETES indique dans cette réponse que la SÉQ est preneuse de prix et n</w:t>
      </w:r>
      <w:r w:rsidR="00296C2D">
        <w:rPr>
          <w:rFonts w:eastAsia="Gadugi"/>
          <w:lang w:bidi="fr-CA"/>
        </w:rPr>
        <w:t>’</w:t>
      </w:r>
      <w:r w:rsidRPr="008166D7">
        <w:rPr>
          <w:rFonts w:eastAsia="Gadugi"/>
          <w:lang w:bidi="fr-CA"/>
        </w:rPr>
        <w:t>élabore pas de prévisions de prix. Le CETES comprend également que les différences de prix dans le co</w:t>
      </w:r>
      <w:r w:rsidR="008166D7">
        <w:rPr>
          <w:rFonts w:eastAsia="Gadugi"/>
          <w:lang w:bidi="fr-CA"/>
        </w:rPr>
        <w:t>u</w:t>
      </w:r>
      <w:r w:rsidRPr="008166D7">
        <w:rPr>
          <w:rFonts w:eastAsia="Gadugi"/>
          <w:lang w:bidi="fr-CA"/>
        </w:rPr>
        <w:t>t du di</w:t>
      </w:r>
      <w:r w:rsidR="00AD7DDC">
        <w:rPr>
          <w:rFonts w:eastAsia="Gadugi"/>
          <w:lang w:bidi="fr-CA"/>
        </w:rPr>
        <w:t>é</w:t>
      </w:r>
      <w:r w:rsidRPr="008166D7">
        <w:rPr>
          <w:rFonts w:eastAsia="Gadugi"/>
          <w:lang w:bidi="fr-CA"/>
        </w:rPr>
        <w:t>sel, entre les prévisions et les résultats réels, sont traitées par le fonds du taux de stabilisation du prix du combustible.</w:t>
      </w:r>
    </w:p>
    <w:p w14:paraId="7262C922" w14:textId="64316065" w:rsidR="00911CBD" w:rsidRPr="008166D7" w:rsidRDefault="00813998" w:rsidP="00911CBD">
      <w:pPr>
        <w:pStyle w:val="Corpsdetexte"/>
        <w:ind w:hanging="530"/>
      </w:pPr>
      <w:r w:rsidRPr="008166D7">
        <w:rPr>
          <w:rFonts w:eastAsia="Gadugi"/>
          <w:lang w:bidi="fr-CA"/>
        </w:rPr>
        <w:t>Le CETES comprend le fonctionnement du fonds du taux de stabilisation du prix du combustible et accepte qu</w:t>
      </w:r>
      <w:r w:rsidR="00296C2D">
        <w:rPr>
          <w:rFonts w:eastAsia="Gadugi"/>
          <w:lang w:bidi="fr-CA"/>
        </w:rPr>
        <w:t>’</w:t>
      </w:r>
      <w:r w:rsidRPr="008166D7">
        <w:rPr>
          <w:rFonts w:eastAsia="Gadugi"/>
          <w:lang w:bidi="fr-CA"/>
        </w:rPr>
        <w:t>il s</w:t>
      </w:r>
      <w:r w:rsidR="00296C2D">
        <w:rPr>
          <w:rFonts w:eastAsia="Gadugi"/>
          <w:lang w:bidi="fr-CA"/>
        </w:rPr>
        <w:t>’</w:t>
      </w:r>
      <w:r w:rsidRPr="008166D7">
        <w:rPr>
          <w:rFonts w:eastAsia="Gadugi"/>
          <w:lang w:bidi="fr-CA"/>
        </w:rPr>
        <w:t>ajuste aux différences de co</w:t>
      </w:r>
      <w:r w:rsidR="008166D7">
        <w:rPr>
          <w:rFonts w:eastAsia="Gadugi"/>
          <w:lang w:bidi="fr-CA"/>
        </w:rPr>
        <w:t>u</w:t>
      </w:r>
      <w:r w:rsidRPr="008166D7">
        <w:rPr>
          <w:rFonts w:eastAsia="Gadugi"/>
          <w:lang w:bidi="fr-CA"/>
        </w:rPr>
        <w:t>t du di</w:t>
      </w:r>
      <w:r w:rsidR="00AD7DDC">
        <w:rPr>
          <w:rFonts w:eastAsia="Gadugi"/>
          <w:lang w:bidi="fr-CA"/>
        </w:rPr>
        <w:t>é</w:t>
      </w:r>
      <w:r w:rsidRPr="008166D7">
        <w:rPr>
          <w:rFonts w:eastAsia="Gadugi"/>
          <w:lang w:bidi="fr-CA"/>
        </w:rPr>
        <w:t>sel, permettant ainsi à la SÉQ et à ses clients de ne pas être «</w:t>
      </w:r>
      <w:r w:rsidR="00296C2D">
        <w:rPr>
          <w:rFonts w:eastAsia="Gadugi"/>
          <w:lang w:bidi="fr-CA"/>
        </w:rPr>
        <w:t> </w:t>
      </w:r>
      <w:r w:rsidRPr="008166D7">
        <w:rPr>
          <w:rFonts w:eastAsia="Gadugi"/>
          <w:lang w:bidi="fr-CA"/>
        </w:rPr>
        <w:t>étouffés</w:t>
      </w:r>
      <w:r w:rsidR="00296C2D">
        <w:rPr>
          <w:rFonts w:eastAsia="Gadugi"/>
          <w:lang w:bidi="fr-CA"/>
        </w:rPr>
        <w:t> </w:t>
      </w:r>
      <w:r w:rsidRPr="008166D7">
        <w:rPr>
          <w:rFonts w:eastAsia="Gadugi"/>
          <w:lang w:bidi="fr-CA"/>
        </w:rPr>
        <w:t>» par le co</w:t>
      </w:r>
      <w:r w:rsidR="008166D7">
        <w:rPr>
          <w:rFonts w:eastAsia="Gadugi"/>
          <w:lang w:bidi="fr-CA"/>
        </w:rPr>
        <w:t>u</w:t>
      </w:r>
      <w:r w:rsidRPr="008166D7">
        <w:rPr>
          <w:rFonts w:eastAsia="Gadugi"/>
          <w:lang w:bidi="fr-CA"/>
        </w:rPr>
        <w:t>t du di</w:t>
      </w:r>
      <w:r w:rsidR="00AD7DDC">
        <w:rPr>
          <w:rFonts w:eastAsia="Gadugi"/>
          <w:lang w:bidi="fr-CA"/>
        </w:rPr>
        <w:t>é</w:t>
      </w:r>
      <w:r w:rsidRPr="008166D7">
        <w:rPr>
          <w:rFonts w:eastAsia="Gadugi"/>
          <w:lang w:bidi="fr-CA"/>
        </w:rPr>
        <w:t>sel. Cependant, le CETES recommande à la SÉQ d</w:t>
      </w:r>
      <w:r w:rsidR="00296C2D">
        <w:rPr>
          <w:rFonts w:eastAsia="Gadugi"/>
          <w:lang w:bidi="fr-CA"/>
        </w:rPr>
        <w:t>’</w:t>
      </w:r>
      <w:r w:rsidRPr="008166D7">
        <w:rPr>
          <w:rFonts w:eastAsia="Gadugi"/>
          <w:lang w:bidi="fr-CA"/>
        </w:rPr>
        <w:t>élaborer des prévisions du co</w:t>
      </w:r>
      <w:r w:rsidR="008166D7">
        <w:rPr>
          <w:rFonts w:eastAsia="Gadugi"/>
          <w:lang w:bidi="fr-CA"/>
        </w:rPr>
        <w:t>u</w:t>
      </w:r>
      <w:r w:rsidRPr="008166D7">
        <w:rPr>
          <w:rFonts w:eastAsia="Gadugi"/>
          <w:lang w:bidi="fr-CA"/>
        </w:rPr>
        <w:t>t du di</w:t>
      </w:r>
      <w:r w:rsidR="00AD7DDC">
        <w:rPr>
          <w:rFonts w:eastAsia="Gadugi"/>
          <w:lang w:bidi="fr-CA"/>
        </w:rPr>
        <w:t>é</w:t>
      </w:r>
      <w:r w:rsidRPr="008166D7">
        <w:rPr>
          <w:rFonts w:eastAsia="Gadugi"/>
          <w:lang w:bidi="fr-CA"/>
        </w:rPr>
        <w:t>sel dans ses prévisions de la RMTG afin de minimiser autant que possible l</w:t>
      </w:r>
      <w:r w:rsidR="00296C2D">
        <w:rPr>
          <w:rFonts w:eastAsia="Gadugi"/>
          <w:lang w:bidi="fr-CA"/>
        </w:rPr>
        <w:t>’</w:t>
      </w:r>
      <w:r w:rsidRPr="008166D7">
        <w:rPr>
          <w:rFonts w:eastAsia="Gadugi"/>
          <w:lang w:bidi="fr-CA"/>
        </w:rPr>
        <w:t>utilisation du fonds du taux de stabilisation du prix du combustible et d</w:t>
      </w:r>
      <w:r w:rsidR="00296C2D">
        <w:rPr>
          <w:rFonts w:eastAsia="Gadugi"/>
          <w:lang w:bidi="fr-CA"/>
        </w:rPr>
        <w:t>’</w:t>
      </w:r>
      <w:r w:rsidRPr="008166D7">
        <w:rPr>
          <w:rFonts w:eastAsia="Gadugi"/>
          <w:lang w:bidi="fr-CA"/>
        </w:rPr>
        <w:t>être en mesure d</w:t>
      </w:r>
      <w:r w:rsidR="00296C2D">
        <w:rPr>
          <w:rFonts w:eastAsia="Gadugi"/>
          <w:lang w:bidi="fr-CA"/>
        </w:rPr>
        <w:t>’</w:t>
      </w:r>
      <w:r w:rsidRPr="008166D7">
        <w:rPr>
          <w:rFonts w:eastAsia="Gadugi"/>
          <w:lang w:bidi="fr-CA"/>
        </w:rPr>
        <w:t>expliquer aux clients les changements qui les concernent.</w:t>
      </w:r>
    </w:p>
    <w:p w14:paraId="7262C923"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LUBRIFIANTS</w:t>
      </w:r>
    </w:p>
    <w:p w14:paraId="7262C925" w14:textId="6578951D" w:rsidR="00AF4E3B" w:rsidRPr="008166D7" w:rsidRDefault="00813998" w:rsidP="00C67278">
      <w:pPr>
        <w:pStyle w:val="Corpsdetexte"/>
        <w:ind w:hanging="530"/>
      </w:pPr>
      <w:r w:rsidRPr="008166D7">
        <w:rPr>
          <w:rFonts w:eastAsia="Gadugi"/>
          <w:lang w:bidi="fr-CA"/>
        </w:rPr>
        <w:t>La SÉQ a fourni des détails sur les prévisions relatives aux lubrifiants pour 2022-2023. Le CETES indique dans la réponse à la DI URRC-QEC-1-18 que l</w:t>
      </w:r>
      <w:r w:rsidR="00296C2D">
        <w:rPr>
          <w:rFonts w:eastAsia="Gadugi"/>
          <w:lang w:bidi="fr-CA"/>
        </w:rPr>
        <w:t>’</w:t>
      </w:r>
      <w:r w:rsidRPr="008166D7">
        <w:rPr>
          <w:rFonts w:eastAsia="Gadugi"/>
          <w:lang w:bidi="fr-CA"/>
        </w:rPr>
        <w:t>augmentation de 0,212 million de dollars pour les lubrifiants est due à l</w:t>
      </w:r>
      <w:r w:rsidR="00296C2D">
        <w:rPr>
          <w:rFonts w:eastAsia="Gadugi"/>
          <w:lang w:bidi="fr-CA"/>
        </w:rPr>
        <w:t>’</w:t>
      </w:r>
      <w:r w:rsidRPr="008166D7">
        <w:rPr>
          <w:rFonts w:eastAsia="Gadugi"/>
          <w:lang w:bidi="fr-CA"/>
        </w:rPr>
        <w:t>augmentation du nombre de groupes électrogènes, à l</w:t>
      </w:r>
      <w:r w:rsidR="00296C2D">
        <w:rPr>
          <w:rFonts w:eastAsia="Gadugi"/>
          <w:lang w:bidi="fr-CA"/>
        </w:rPr>
        <w:t>’</w:t>
      </w:r>
      <w:r w:rsidRPr="008166D7">
        <w:rPr>
          <w:rFonts w:eastAsia="Gadugi"/>
          <w:lang w:bidi="fr-CA"/>
        </w:rPr>
        <w:t>ajout d</w:t>
      </w:r>
      <w:r w:rsidR="00296C2D">
        <w:rPr>
          <w:rFonts w:eastAsia="Gadugi"/>
          <w:lang w:bidi="fr-CA"/>
        </w:rPr>
        <w:t>’</w:t>
      </w:r>
      <w:r w:rsidRPr="008166D7">
        <w:rPr>
          <w:rFonts w:eastAsia="Gadugi"/>
          <w:lang w:bidi="fr-CA"/>
        </w:rPr>
        <w:t>unités de secours et à l</w:t>
      </w:r>
      <w:r w:rsidR="00296C2D">
        <w:rPr>
          <w:rFonts w:eastAsia="Gadugi"/>
          <w:lang w:bidi="fr-CA"/>
        </w:rPr>
        <w:t>’</w:t>
      </w:r>
      <w:r w:rsidRPr="008166D7">
        <w:rPr>
          <w:rFonts w:eastAsia="Gadugi"/>
          <w:lang w:bidi="fr-CA"/>
        </w:rPr>
        <w:t>augmentation du co</w:t>
      </w:r>
      <w:r w:rsidR="008166D7">
        <w:rPr>
          <w:rFonts w:eastAsia="Gadugi"/>
          <w:lang w:bidi="fr-CA"/>
        </w:rPr>
        <w:t>u</w:t>
      </w:r>
      <w:r w:rsidRPr="008166D7">
        <w:rPr>
          <w:rFonts w:eastAsia="Gadugi"/>
          <w:lang w:bidi="fr-CA"/>
        </w:rPr>
        <w:t>t des lubrifiants.</w:t>
      </w:r>
    </w:p>
    <w:p w14:paraId="7262C926" w14:textId="5CD5C021" w:rsidR="00AF4E3B" w:rsidRPr="008166D7" w:rsidRDefault="00813998" w:rsidP="00C67278">
      <w:pPr>
        <w:pStyle w:val="Corpsdetexte"/>
        <w:ind w:hanging="530"/>
      </w:pPr>
      <w:r w:rsidRPr="008166D7">
        <w:rPr>
          <w:rFonts w:eastAsia="Gadugi"/>
          <w:lang w:bidi="fr-CA"/>
        </w:rPr>
        <w:t>Le CETES estime que les prévisions pour 2022-2023 semblent raisonnables sur la base de l</w:t>
      </w:r>
      <w:r w:rsidR="00296C2D">
        <w:rPr>
          <w:rFonts w:eastAsia="Gadugi"/>
          <w:lang w:bidi="fr-CA"/>
        </w:rPr>
        <w:t>’</w:t>
      </w:r>
      <w:r w:rsidRPr="008166D7">
        <w:rPr>
          <w:rFonts w:eastAsia="Gadugi"/>
          <w:lang w:bidi="fr-CA"/>
        </w:rPr>
        <w:t>explication fournie par la SÉQ.</w:t>
      </w:r>
    </w:p>
    <w:p w14:paraId="7262C927" w14:textId="77777777" w:rsidR="004C2FAA" w:rsidRPr="008166D7" w:rsidRDefault="00813998" w:rsidP="00911CBD">
      <w:pPr>
        <w:pStyle w:val="Heading2URRC"/>
        <w:rPr>
          <w:rFonts w:ascii="Times New Roman" w:hAnsi="Times New Roman"/>
        </w:rPr>
      </w:pPr>
      <w:r w:rsidRPr="008166D7">
        <w:rPr>
          <w:rFonts w:ascii="Times New Roman" w:eastAsia="Gadugi" w:hAnsi="Times New Roman"/>
          <w:lang w:bidi="fr-CA"/>
        </w:rPr>
        <w:t>AMORTISSEMENT</w:t>
      </w:r>
    </w:p>
    <w:p w14:paraId="7262C928" w14:textId="6A0C0D0B" w:rsidR="007C55FF" w:rsidRPr="008166D7" w:rsidRDefault="00813998" w:rsidP="00C67278">
      <w:pPr>
        <w:pStyle w:val="Corpsdetexte"/>
        <w:ind w:hanging="530"/>
        <w:rPr>
          <w:lang w:val="fr-FR"/>
        </w:rPr>
      </w:pPr>
      <w:r w:rsidRPr="008166D7">
        <w:rPr>
          <w:rFonts w:eastAsia="Gadugi"/>
          <w:lang w:bidi="fr-CA"/>
        </w:rPr>
        <w:t>La SÉQ a fourni des détails concernant ses prévisions de charges d</w:t>
      </w:r>
      <w:r w:rsidR="00296C2D">
        <w:rPr>
          <w:rFonts w:eastAsia="Gadugi"/>
          <w:lang w:bidi="fr-CA"/>
        </w:rPr>
        <w:t>’</w:t>
      </w:r>
      <w:r w:rsidRPr="008166D7">
        <w:rPr>
          <w:rFonts w:eastAsia="Gadugi"/>
          <w:lang w:bidi="fr-CA"/>
        </w:rPr>
        <w:t>amortissement de 13,747 millions de dollars pour 2022-2023 dans le tableau 4.5 de la demande, soit une augmentation de 3,013 millions de dollars par rapport à la RMTG de 2018-2019. Dans l</w:t>
      </w:r>
      <w:r w:rsidR="00296C2D">
        <w:rPr>
          <w:rFonts w:eastAsia="Gadugi"/>
          <w:lang w:bidi="fr-CA"/>
        </w:rPr>
        <w:t>’</w:t>
      </w:r>
      <w:r w:rsidRPr="008166D7">
        <w:rPr>
          <w:rFonts w:eastAsia="Gadugi"/>
          <w:lang w:bidi="fr-CA"/>
        </w:rPr>
        <w:t>annexe 4.3 de la demande, la SÉQ a également fourni des détails supplémentaires.</w:t>
      </w:r>
    </w:p>
    <w:p w14:paraId="7262C929" w14:textId="756DD7FA" w:rsidR="00911CBD" w:rsidRPr="008166D7" w:rsidRDefault="00813998" w:rsidP="00C67278">
      <w:pPr>
        <w:pStyle w:val="Corpsdetexte"/>
        <w:ind w:hanging="530"/>
      </w:pPr>
      <w:r w:rsidRPr="008166D7">
        <w:rPr>
          <w:rFonts w:eastAsia="Gadugi"/>
          <w:lang w:bidi="fr-CA"/>
        </w:rPr>
        <w:lastRenderedPageBreak/>
        <w:t>Le CETES a demandé des informations complémentaires sur les prévisions de charges d</w:t>
      </w:r>
      <w:r w:rsidR="00296C2D">
        <w:rPr>
          <w:rFonts w:eastAsia="Gadugi"/>
          <w:lang w:bidi="fr-CA"/>
        </w:rPr>
        <w:t>’</w:t>
      </w:r>
      <w:r w:rsidRPr="008166D7">
        <w:rPr>
          <w:rFonts w:eastAsia="Gadugi"/>
          <w:lang w:bidi="fr-CA"/>
        </w:rPr>
        <w:t>amortissement dans la DI URRC-QEC-1-29. Le CETES comprend, à la lumière de la réponse de la SÉQ, que la SÉQ prévoit de déposer une mise à jour de l’étude sur les amortissements dans sa prochaine RMTG.</w:t>
      </w:r>
    </w:p>
    <w:p w14:paraId="7262C92A" w14:textId="1899A7CF" w:rsidR="004A4DB7" w:rsidRPr="008166D7" w:rsidRDefault="00813998" w:rsidP="00B35763">
      <w:pPr>
        <w:pStyle w:val="Corpsdetexte"/>
        <w:ind w:hanging="530"/>
      </w:pPr>
      <w:r w:rsidRPr="008166D7">
        <w:rPr>
          <w:rFonts w:eastAsia="Gadugi"/>
          <w:lang w:bidi="fr-CA"/>
        </w:rPr>
        <w:t>Le CETES accepte que la SÉQ ait calculé la charge d</w:t>
      </w:r>
      <w:r w:rsidR="00296C2D">
        <w:rPr>
          <w:rFonts w:eastAsia="Gadugi"/>
          <w:lang w:bidi="fr-CA"/>
        </w:rPr>
        <w:t>’</w:t>
      </w:r>
      <w:r w:rsidRPr="008166D7">
        <w:rPr>
          <w:rFonts w:eastAsia="Gadugi"/>
          <w:lang w:bidi="fr-CA"/>
        </w:rPr>
        <w:t>amortissement en utilisant les méthodes et les taux d</w:t>
      </w:r>
      <w:r w:rsidR="00296C2D">
        <w:rPr>
          <w:rFonts w:eastAsia="Gadugi"/>
          <w:lang w:bidi="fr-CA"/>
        </w:rPr>
        <w:t>’</w:t>
      </w:r>
      <w:r w:rsidRPr="008166D7">
        <w:rPr>
          <w:rFonts w:eastAsia="Gadugi"/>
          <w:lang w:bidi="fr-CA"/>
        </w:rPr>
        <w:t>amortissement précédemment approuvés. Le CETES accepte également les ajustements r</w:t>
      </w:r>
      <w:r w:rsidR="008166D7">
        <w:rPr>
          <w:rFonts w:eastAsia="Gadugi"/>
          <w:lang w:bidi="fr-CA"/>
        </w:rPr>
        <w:t>è</w:t>
      </w:r>
      <w:r w:rsidRPr="008166D7">
        <w:rPr>
          <w:rFonts w:eastAsia="Gadugi"/>
          <w:lang w:bidi="fr-CA"/>
        </w:rPr>
        <w:t>glementaires des immobilisations basés sur les RMTG précédentes, ainsi que les ajustements liés aux immobilisations autres que l</w:t>
      </w:r>
      <w:r w:rsidR="00296C2D">
        <w:rPr>
          <w:rFonts w:eastAsia="Gadugi"/>
          <w:lang w:bidi="fr-CA"/>
        </w:rPr>
        <w:t>’</w:t>
      </w:r>
      <w:r w:rsidRPr="008166D7">
        <w:rPr>
          <w:rFonts w:eastAsia="Gadugi"/>
          <w:lang w:bidi="fr-CA"/>
        </w:rPr>
        <w:t>électricité et aux contributions du Fonds pour l</w:t>
      </w:r>
      <w:r w:rsidR="00296C2D">
        <w:rPr>
          <w:rFonts w:eastAsia="Gadugi"/>
          <w:lang w:bidi="fr-CA"/>
        </w:rPr>
        <w:t>’</w:t>
      </w:r>
      <w:r w:rsidRPr="008166D7">
        <w:rPr>
          <w:rFonts w:eastAsia="Gadugi"/>
          <w:lang w:bidi="fr-CA"/>
        </w:rPr>
        <w:t>énergie dans l</w:t>
      </w:r>
      <w:r w:rsidR="00296C2D">
        <w:rPr>
          <w:rFonts w:eastAsia="Gadugi"/>
          <w:lang w:bidi="fr-CA"/>
        </w:rPr>
        <w:t>’</w:t>
      </w:r>
      <w:r w:rsidRPr="008166D7">
        <w:rPr>
          <w:rFonts w:eastAsia="Gadugi"/>
          <w:lang w:bidi="fr-CA"/>
        </w:rPr>
        <w:t>Arctique (FEA)/des clients qui ont été effectués par la SÉQ dans ses prévisions.</w:t>
      </w:r>
    </w:p>
    <w:p w14:paraId="7262C92B" w14:textId="0CFBB8E1" w:rsidR="00C705F5" w:rsidRPr="008166D7" w:rsidRDefault="00813998" w:rsidP="001A4F3B">
      <w:pPr>
        <w:pStyle w:val="Corpsdetexte"/>
        <w:ind w:hanging="530"/>
      </w:pPr>
      <w:r w:rsidRPr="008166D7">
        <w:rPr>
          <w:rFonts w:eastAsia="Gadugi"/>
          <w:lang w:bidi="fr-CA"/>
        </w:rPr>
        <w:t>Le CETES estime que les prévisions de charges d</w:t>
      </w:r>
      <w:r w:rsidR="00296C2D">
        <w:rPr>
          <w:rFonts w:eastAsia="Gadugi"/>
          <w:lang w:bidi="fr-CA"/>
        </w:rPr>
        <w:t>’</w:t>
      </w:r>
      <w:r w:rsidRPr="008166D7">
        <w:rPr>
          <w:rFonts w:eastAsia="Gadugi"/>
          <w:lang w:bidi="fr-CA"/>
        </w:rPr>
        <w:t>amortissement pour 2022-2023 sont raisonnables. L</w:t>
      </w:r>
      <w:r w:rsidR="00296C2D">
        <w:rPr>
          <w:rFonts w:eastAsia="Gadugi"/>
          <w:lang w:bidi="fr-CA"/>
        </w:rPr>
        <w:t>’</w:t>
      </w:r>
      <w:r w:rsidRPr="008166D7">
        <w:rPr>
          <w:rFonts w:eastAsia="Gadugi"/>
          <w:lang w:bidi="fr-CA"/>
        </w:rPr>
        <w:t>augmentation est compréhensible si l</w:t>
      </w:r>
      <w:r w:rsidR="00296C2D">
        <w:rPr>
          <w:rFonts w:eastAsia="Gadugi"/>
          <w:lang w:bidi="fr-CA"/>
        </w:rPr>
        <w:t>’</w:t>
      </w:r>
      <w:r w:rsidRPr="008166D7">
        <w:rPr>
          <w:rFonts w:eastAsia="Gadugi"/>
          <w:lang w:bidi="fr-CA"/>
        </w:rPr>
        <w:t>on se fie aux augmentations de la base tarifaire depuis la RMTG de 2018-2019.</w:t>
      </w:r>
    </w:p>
    <w:p w14:paraId="7262C92C" w14:textId="615E4302" w:rsidR="00911CBD" w:rsidRPr="008166D7" w:rsidRDefault="00813998" w:rsidP="001A4F3B">
      <w:pPr>
        <w:pStyle w:val="Corpsdetexte"/>
        <w:ind w:hanging="530"/>
      </w:pPr>
      <w:r w:rsidRPr="008166D7">
        <w:rPr>
          <w:rFonts w:eastAsia="Gadugi"/>
          <w:lang w:bidi="fr-CA"/>
        </w:rPr>
        <w:t xml:space="preserve">Le CETES recommande que la SÉQ fournisse une mise à jour de l’étude sur les amortissements dans sa prochaine RMTG. </w:t>
      </w:r>
    </w:p>
    <w:p w14:paraId="7262C92D" w14:textId="77777777" w:rsidR="00911CBD" w:rsidRPr="008166D7" w:rsidRDefault="00813998" w:rsidP="00911CBD">
      <w:pPr>
        <w:pStyle w:val="Heading2URRC"/>
        <w:rPr>
          <w:rFonts w:ascii="Times New Roman" w:hAnsi="Times New Roman"/>
        </w:rPr>
      </w:pPr>
      <w:r w:rsidRPr="008166D7">
        <w:rPr>
          <w:rFonts w:ascii="Times New Roman" w:eastAsia="Gadugi" w:hAnsi="Times New Roman"/>
          <w:lang w:bidi="fr-CA"/>
        </w:rPr>
        <w:t>RENDEMENT DE LA BASE TARIFAIRE</w:t>
      </w:r>
    </w:p>
    <w:p w14:paraId="7262C92E" w14:textId="7C41EEE6" w:rsidR="00146C6A" w:rsidRPr="008166D7" w:rsidRDefault="00813998" w:rsidP="00283DFC">
      <w:pPr>
        <w:pStyle w:val="Corpsdetexte"/>
        <w:ind w:hanging="530"/>
      </w:pPr>
      <w:r w:rsidRPr="008166D7">
        <w:rPr>
          <w:rFonts w:eastAsia="Gadugi"/>
          <w:lang w:bidi="fr-CA"/>
        </w:rPr>
        <w:t>La SÉQ a fourni des détails concernant ses prévisions de rendement de la base tarifaire de 14,105 millions de dollars pour 2022-2023 dans le tableau 4.6 de la demande, soit une augmentation de 0,940 million de dollars par rapport à la RMTG de 2018-2019. Le CETES indique que l</w:t>
      </w:r>
      <w:r w:rsidR="00296C2D">
        <w:rPr>
          <w:rFonts w:eastAsia="Gadugi"/>
          <w:lang w:bidi="fr-CA"/>
        </w:rPr>
        <w:t>’</w:t>
      </w:r>
      <w:r w:rsidRPr="008166D7">
        <w:rPr>
          <w:rFonts w:eastAsia="Gadugi"/>
          <w:lang w:bidi="fr-CA"/>
        </w:rPr>
        <w:t>augmentation du rendement est liée à l</w:t>
      </w:r>
      <w:r w:rsidR="00296C2D">
        <w:rPr>
          <w:rFonts w:eastAsia="Gadugi"/>
          <w:lang w:bidi="fr-CA"/>
        </w:rPr>
        <w:t>’</w:t>
      </w:r>
      <w:r w:rsidRPr="008166D7">
        <w:rPr>
          <w:rFonts w:eastAsia="Gadugi"/>
          <w:lang w:bidi="fr-CA"/>
        </w:rPr>
        <w:t>augmentation de la base tarifaire au milieu</w:t>
      </w:r>
      <w:r w:rsidR="00563FA3">
        <w:rPr>
          <w:rFonts w:eastAsia="Gadugi"/>
          <w:lang w:bidi="fr-CA"/>
        </w:rPr>
        <w:t xml:space="preserve"> </w:t>
      </w:r>
      <w:r w:rsidRPr="008166D7">
        <w:rPr>
          <w:rFonts w:eastAsia="Gadugi"/>
          <w:lang w:bidi="fr-CA"/>
        </w:rPr>
        <w:t>de l</w:t>
      </w:r>
      <w:r w:rsidR="00296C2D">
        <w:rPr>
          <w:rFonts w:eastAsia="Gadugi"/>
          <w:lang w:bidi="fr-CA"/>
        </w:rPr>
        <w:t>’</w:t>
      </w:r>
      <w:r w:rsidRPr="008166D7">
        <w:rPr>
          <w:rFonts w:eastAsia="Gadugi"/>
          <w:lang w:bidi="fr-CA"/>
        </w:rPr>
        <w:t>année, partiellement compensée par une réduction du taux moyen de rendement de la base tarifaire. Le CETES indique que la SÉQ a fourni des historiques et des détails/hypothèses pour soutenir la base tarifaire, la structure financière, le co</w:t>
      </w:r>
      <w:r w:rsidR="008166D7">
        <w:rPr>
          <w:rFonts w:eastAsia="Gadugi"/>
          <w:lang w:bidi="fr-CA"/>
        </w:rPr>
        <w:t>u</w:t>
      </w:r>
      <w:r w:rsidRPr="008166D7">
        <w:rPr>
          <w:rFonts w:eastAsia="Gadugi"/>
          <w:lang w:bidi="fr-CA"/>
        </w:rPr>
        <w:t>t de l’endettement à long terme et le RCP utilisés pour déterminer le rendement de la base tarifaire.</w:t>
      </w:r>
    </w:p>
    <w:p w14:paraId="7262C92F" w14:textId="0D5799AC" w:rsidR="00911CBD" w:rsidRPr="008166D7" w:rsidRDefault="00813998" w:rsidP="00283DFC">
      <w:pPr>
        <w:pStyle w:val="Corpsdetexte"/>
        <w:ind w:hanging="530"/>
      </w:pPr>
      <w:r w:rsidRPr="008166D7">
        <w:rPr>
          <w:rFonts w:eastAsia="Gadugi"/>
          <w:lang w:bidi="fr-CA"/>
        </w:rPr>
        <w:t xml:space="preserve">Le CETES a présenté plusieurs DI (URRC-QEC-1-19, URRC-QEC-1-20, et URRC-QEC-2-7) sur les différents éléments qui sont utilisés pour déterminer le rendement de la base tarifaire. La SÉQ a répondu aux DI en fournissant des informations utiles. </w:t>
      </w:r>
      <w:r w:rsidRPr="008166D7">
        <w:rPr>
          <w:rFonts w:eastAsia="Gadugi"/>
          <w:lang w:bidi="fr-CA"/>
        </w:rPr>
        <w:lastRenderedPageBreak/>
        <w:t>Chaque élément du taux de rendement sera examiné plus à fond dans les sections ci-dessous.</w:t>
      </w:r>
    </w:p>
    <w:p w14:paraId="7262C930" w14:textId="7BF2EEB8" w:rsidR="00911CBD" w:rsidRPr="008166D7" w:rsidRDefault="00813998" w:rsidP="00911CBD">
      <w:pPr>
        <w:pStyle w:val="Corpsdetexte"/>
        <w:ind w:hanging="530"/>
      </w:pPr>
      <w:r w:rsidRPr="008166D7">
        <w:rPr>
          <w:rFonts w:eastAsia="Gadugi"/>
          <w:lang w:bidi="fr-CA"/>
        </w:rPr>
        <w:t>Le CETES a examiné les explications fournies par la SÉQ dans la demande et en réponse aux DI, ainsi que les annexes 4.3 à 4.6 de la demande. Le CETES estime que les prévisions de rendement de la base tarifaire pour 2022-2023 sont raisonnables, sous réserve des recommandations formulées dans les sections ci-dessous.</w:t>
      </w:r>
    </w:p>
    <w:p w14:paraId="7262C931"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DETTE À LONG TERME</w:t>
      </w:r>
    </w:p>
    <w:p w14:paraId="7262C933" w14:textId="2F3A5385" w:rsidR="0036113A" w:rsidRPr="008166D7" w:rsidRDefault="00813998" w:rsidP="00911CBD">
      <w:pPr>
        <w:pStyle w:val="Corpsdetexte"/>
        <w:ind w:hanging="530"/>
      </w:pPr>
      <w:r w:rsidRPr="008166D7">
        <w:rPr>
          <w:rFonts w:eastAsia="Gadugi"/>
          <w:lang w:bidi="fr-CA"/>
        </w:rPr>
        <w:t>La SÉQ a indiqué que le montant de la dette à long terme et le co</w:t>
      </w:r>
      <w:r w:rsidR="008166D7">
        <w:rPr>
          <w:rFonts w:eastAsia="Gadugi"/>
          <w:lang w:bidi="fr-CA"/>
        </w:rPr>
        <w:t>u</w:t>
      </w:r>
      <w:r w:rsidRPr="008166D7">
        <w:rPr>
          <w:rFonts w:eastAsia="Gadugi"/>
          <w:lang w:bidi="fr-CA"/>
        </w:rPr>
        <w:t xml:space="preserve">t moyen de la dette ont diminué depuis la RMTG de 2018-2019. Les annexes 4.5 et 4.6 de la demande en témoignent. La SÉQ a fourni des détails concernant les prévisions relatives aux remboursements et aux émissions de dette. </w:t>
      </w:r>
    </w:p>
    <w:p w14:paraId="7262C934" w14:textId="7AB0F011" w:rsidR="00911CBD" w:rsidRPr="008166D7" w:rsidRDefault="00813998" w:rsidP="00911CBD">
      <w:pPr>
        <w:pStyle w:val="Corpsdetexte"/>
        <w:ind w:hanging="530"/>
      </w:pPr>
      <w:r w:rsidRPr="008166D7">
        <w:rPr>
          <w:rFonts w:eastAsia="Gadugi"/>
          <w:lang w:bidi="fr-CA"/>
        </w:rPr>
        <w:t>Le CETES indique que le taux de capitalisation de la dette à long terme a diminué malgré l</w:t>
      </w:r>
      <w:r w:rsidR="00296C2D">
        <w:rPr>
          <w:rFonts w:eastAsia="Gadugi"/>
          <w:lang w:bidi="fr-CA"/>
        </w:rPr>
        <w:t>’</w:t>
      </w:r>
      <w:r w:rsidRPr="008166D7">
        <w:rPr>
          <w:rFonts w:eastAsia="Gadugi"/>
          <w:lang w:bidi="fr-CA"/>
        </w:rPr>
        <w:t>augmentation des investissements sur la base tarifaire. Cependant, le CETES indique également que le montant correspondant au financement de la base tarifaire a augmenté en raison de l</w:t>
      </w:r>
      <w:r w:rsidR="00296C2D">
        <w:rPr>
          <w:rFonts w:eastAsia="Gadugi"/>
          <w:lang w:bidi="fr-CA"/>
        </w:rPr>
        <w:t>’</w:t>
      </w:r>
      <w:r w:rsidRPr="008166D7">
        <w:rPr>
          <w:rFonts w:eastAsia="Gadugi"/>
          <w:lang w:bidi="fr-CA"/>
        </w:rPr>
        <w:t>augmentation de la base tarifaire depuis 2018-2019. Cela n</w:t>
      </w:r>
      <w:r w:rsidR="00296C2D">
        <w:rPr>
          <w:rFonts w:eastAsia="Gadugi"/>
          <w:lang w:bidi="fr-CA"/>
        </w:rPr>
        <w:t>’</w:t>
      </w:r>
      <w:r w:rsidRPr="008166D7">
        <w:rPr>
          <w:rFonts w:eastAsia="Gadugi"/>
          <w:lang w:bidi="fr-CA"/>
        </w:rPr>
        <w:t>est pas surprenant et est conforme à la méthode approuvée précédemment pour déterminer le rendement de la base tarifaire.</w:t>
      </w:r>
    </w:p>
    <w:p w14:paraId="7262C935" w14:textId="3BD3CDE9" w:rsidR="0036113A" w:rsidRPr="008166D7" w:rsidRDefault="00813998" w:rsidP="00911CBD">
      <w:pPr>
        <w:pStyle w:val="Corpsdetexte"/>
        <w:ind w:hanging="530"/>
      </w:pPr>
      <w:r w:rsidRPr="008166D7">
        <w:rPr>
          <w:rFonts w:eastAsia="Gadugi"/>
          <w:lang w:bidi="fr-CA"/>
        </w:rPr>
        <w:t>Le CETES a pris note du co</w:t>
      </w:r>
      <w:r w:rsidR="008166D7">
        <w:rPr>
          <w:rFonts w:eastAsia="Gadugi"/>
          <w:lang w:bidi="fr-CA"/>
        </w:rPr>
        <w:t>u</w:t>
      </w:r>
      <w:r w:rsidRPr="008166D7">
        <w:rPr>
          <w:rFonts w:eastAsia="Gadugi"/>
          <w:lang w:bidi="fr-CA"/>
        </w:rPr>
        <w:t>t estimé de la dette par la SÉQ pour les prévisions d</w:t>
      </w:r>
      <w:r w:rsidR="00296C2D">
        <w:rPr>
          <w:rFonts w:eastAsia="Gadugi"/>
          <w:lang w:bidi="fr-CA"/>
        </w:rPr>
        <w:t>’</w:t>
      </w:r>
      <w:r w:rsidRPr="008166D7">
        <w:rPr>
          <w:rFonts w:eastAsia="Gadugi"/>
          <w:lang w:bidi="fr-CA"/>
        </w:rPr>
        <w:t>émissions de dette pour 2021-2022 et 2022-2023 et a demandé à la SÉQ quels étaient les taux dans les DI. La SÉQ a justifié le co</w:t>
      </w:r>
      <w:r w:rsidR="008166D7">
        <w:rPr>
          <w:rFonts w:eastAsia="Gadugi"/>
          <w:lang w:bidi="fr-CA"/>
        </w:rPr>
        <w:t>u</w:t>
      </w:r>
      <w:r w:rsidRPr="008166D7">
        <w:rPr>
          <w:rFonts w:eastAsia="Gadugi"/>
          <w:lang w:bidi="fr-CA"/>
        </w:rPr>
        <w:t>t de l’endettement estimé pour ces émissions; toutefois, le CETES continue de craindre que le co</w:t>
      </w:r>
      <w:r w:rsidR="008166D7">
        <w:rPr>
          <w:rFonts w:eastAsia="Gadugi"/>
          <w:lang w:bidi="fr-CA"/>
        </w:rPr>
        <w:t>u</w:t>
      </w:r>
      <w:r w:rsidRPr="008166D7">
        <w:rPr>
          <w:rFonts w:eastAsia="Gadugi"/>
          <w:lang w:bidi="fr-CA"/>
        </w:rPr>
        <w:t>t de l’endettement soit trop bas en ce qui concerne l</w:t>
      </w:r>
      <w:r w:rsidR="00296C2D">
        <w:rPr>
          <w:rFonts w:eastAsia="Gadugi"/>
          <w:lang w:bidi="fr-CA"/>
        </w:rPr>
        <w:t>’</w:t>
      </w:r>
      <w:r w:rsidRPr="008166D7">
        <w:rPr>
          <w:rFonts w:eastAsia="Gadugi"/>
          <w:lang w:bidi="fr-CA"/>
        </w:rPr>
        <w:t>émission 2022-2023 en particulier. Le CETES avait des inquiétudes quand il a demandé la DI URRC-QEC-1-19. Le co</w:t>
      </w:r>
      <w:r w:rsidR="008166D7">
        <w:rPr>
          <w:rFonts w:eastAsia="Gadugi"/>
          <w:lang w:bidi="fr-CA"/>
        </w:rPr>
        <w:t>u</w:t>
      </w:r>
      <w:r w:rsidRPr="008166D7">
        <w:rPr>
          <w:rFonts w:eastAsia="Gadugi"/>
          <w:lang w:bidi="fr-CA"/>
        </w:rPr>
        <w:t xml:space="preserve">t de l’endettement semble avoir augmenté à nouveau depuis que la SÉQ a répondu à cette DI. </w:t>
      </w:r>
    </w:p>
    <w:p w14:paraId="7262C936" w14:textId="16C6F680" w:rsidR="00911CBD" w:rsidRPr="008166D7" w:rsidRDefault="00813998" w:rsidP="00911CBD">
      <w:pPr>
        <w:pStyle w:val="Corpsdetexte"/>
        <w:ind w:hanging="530"/>
      </w:pPr>
      <w:r w:rsidRPr="008166D7">
        <w:rPr>
          <w:rFonts w:eastAsia="Gadugi"/>
          <w:lang w:bidi="fr-CA"/>
        </w:rPr>
        <w:t>Le CETES estime que les prévisions relatives à la portion de la dette à long terme du rendement de la base tarifaire de 3,965 millions de dollars, telles qu</w:t>
      </w:r>
      <w:r w:rsidR="00296C2D">
        <w:rPr>
          <w:rFonts w:eastAsia="Gadugi"/>
          <w:lang w:bidi="fr-CA"/>
        </w:rPr>
        <w:t>’</w:t>
      </w:r>
      <w:r w:rsidRPr="008166D7">
        <w:rPr>
          <w:rFonts w:eastAsia="Gadugi"/>
          <w:lang w:bidi="fr-CA"/>
        </w:rPr>
        <w:t>elles sont déterminées à l</w:t>
      </w:r>
      <w:r w:rsidR="00296C2D">
        <w:rPr>
          <w:rFonts w:eastAsia="Gadugi"/>
          <w:lang w:bidi="fr-CA"/>
        </w:rPr>
        <w:t>’</w:t>
      </w:r>
      <w:r w:rsidRPr="008166D7">
        <w:rPr>
          <w:rFonts w:eastAsia="Gadugi"/>
          <w:lang w:bidi="fr-CA"/>
        </w:rPr>
        <w:t xml:space="preserve">annexe 4.4, sont raisonnables. Toutefois, la SÉQ sera exposée au risque </w:t>
      </w:r>
      <w:r w:rsidRPr="008166D7">
        <w:rPr>
          <w:rFonts w:eastAsia="Gadugi"/>
          <w:lang w:bidi="fr-CA"/>
        </w:rPr>
        <w:lastRenderedPageBreak/>
        <w:t>associé aux différences entre le taux réel sur l</w:t>
      </w:r>
      <w:r w:rsidR="00296C2D">
        <w:rPr>
          <w:rFonts w:eastAsia="Gadugi"/>
          <w:lang w:bidi="fr-CA"/>
        </w:rPr>
        <w:t>’</w:t>
      </w:r>
      <w:r w:rsidRPr="008166D7">
        <w:rPr>
          <w:rFonts w:eastAsia="Gadugi"/>
          <w:lang w:bidi="fr-CA"/>
        </w:rPr>
        <w:t>émission de 37,7 millions de dollars en 2022-2023 et les prévisions du taux de 1,95 %.</w:t>
      </w:r>
    </w:p>
    <w:p w14:paraId="7262C937" w14:textId="72C48233" w:rsidR="00C75E12" w:rsidRPr="008166D7" w:rsidRDefault="00813998" w:rsidP="00911CBD">
      <w:pPr>
        <w:pStyle w:val="Corpsdetexte"/>
        <w:ind w:hanging="530"/>
      </w:pPr>
      <w:r w:rsidRPr="008166D7">
        <w:rPr>
          <w:rFonts w:eastAsia="Gadugi"/>
          <w:lang w:bidi="fr-CA"/>
        </w:rPr>
        <w:t>Le CETES s</w:t>
      </w:r>
      <w:r w:rsidR="00296C2D">
        <w:rPr>
          <w:rFonts w:eastAsia="Gadugi"/>
          <w:lang w:bidi="fr-CA"/>
        </w:rPr>
        <w:t>’</w:t>
      </w:r>
      <w:r w:rsidRPr="008166D7">
        <w:rPr>
          <w:rFonts w:eastAsia="Gadugi"/>
          <w:lang w:bidi="fr-CA"/>
        </w:rPr>
        <w:t>inquiète également de l</w:t>
      </w:r>
      <w:r w:rsidR="00296C2D">
        <w:rPr>
          <w:rFonts w:eastAsia="Gadugi"/>
          <w:lang w:bidi="fr-CA"/>
        </w:rPr>
        <w:t>’</w:t>
      </w:r>
      <w:r w:rsidRPr="008166D7">
        <w:rPr>
          <w:rFonts w:eastAsia="Gadugi"/>
          <w:lang w:bidi="fr-CA"/>
        </w:rPr>
        <w:t>accès de la SÉQ à la dette à long terme, indiquant que la construction de six grands projets de centrales électriques au cours des prochaines années a été approuvée. Le CETES comprend qu</w:t>
      </w:r>
      <w:r w:rsidR="00296C2D">
        <w:rPr>
          <w:rFonts w:eastAsia="Gadugi"/>
          <w:lang w:bidi="fr-CA"/>
        </w:rPr>
        <w:t>’</w:t>
      </w:r>
      <w:r w:rsidRPr="008166D7">
        <w:rPr>
          <w:rFonts w:eastAsia="Gadugi"/>
          <w:lang w:bidi="fr-CA"/>
        </w:rPr>
        <w:t>une partie importante du co</w:t>
      </w:r>
      <w:r w:rsidR="008166D7">
        <w:rPr>
          <w:rFonts w:eastAsia="Gadugi"/>
          <w:lang w:bidi="fr-CA"/>
        </w:rPr>
        <w:t>u</w:t>
      </w:r>
      <w:r w:rsidRPr="008166D7">
        <w:rPr>
          <w:rFonts w:eastAsia="Gadugi"/>
          <w:lang w:bidi="fr-CA"/>
        </w:rPr>
        <w:t>t sera couverte par le financement du FEA, néanmoins la SÉQ aura besoin d</w:t>
      </w:r>
      <w:r w:rsidR="00296C2D">
        <w:rPr>
          <w:rFonts w:eastAsia="Gadugi"/>
          <w:lang w:bidi="fr-CA"/>
        </w:rPr>
        <w:t>’</w:t>
      </w:r>
      <w:r w:rsidRPr="008166D7">
        <w:rPr>
          <w:rFonts w:eastAsia="Gadugi"/>
          <w:lang w:bidi="fr-CA"/>
        </w:rPr>
        <w:t>une dette à long terme pour financer le reste du co</w:t>
      </w:r>
      <w:r w:rsidR="008166D7">
        <w:rPr>
          <w:rFonts w:eastAsia="Gadugi"/>
          <w:lang w:bidi="fr-CA"/>
        </w:rPr>
        <w:t>u</w:t>
      </w:r>
      <w:r w:rsidRPr="008166D7">
        <w:rPr>
          <w:rFonts w:eastAsia="Gadugi"/>
          <w:lang w:bidi="fr-CA"/>
        </w:rPr>
        <w:t>t. Le CETES indique également que même sans les six grands projets, la SÉQ compte un nombre constant de projets d</w:t>
      </w:r>
      <w:r w:rsidR="00296C2D">
        <w:rPr>
          <w:rFonts w:eastAsia="Gadugi"/>
          <w:lang w:bidi="fr-CA"/>
        </w:rPr>
        <w:t>’</w:t>
      </w:r>
      <w:r w:rsidRPr="008166D7">
        <w:rPr>
          <w:rFonts w:eastAsia="Gadugi"/>
          <w:lang w:bidi="fr-CA"/>
        </w:rPr>
        <w:t>entretien et de mise à niveau «</w:t>
      </w:r>
      <w:r w:rsidR="00296C2D">
        <w:rPr>
          <w:rFonts w:eastAsia="Gadugi"/>
          <w:lang w:bidi="fr-CA"/>
        </w:rPr>
        <w:t> </w:t>
      </w:r>
      <w:r w:rsidRPr="008166D7">
        <w:rPr>
          <w:rFonts w:eastAsia="Gadugi"/>
          <w:lang w:bidi="fr-CA"/>
        </w:rPr>
        <w:t>de routine</w:t>
      </w:r>
      <w:r w:rsidR="00296C2D">
        <w:rPr>
          <w:rFonts w:eastAsia="Gadugi"/>
          <w:lang w:bidi="fr-CA"/>
        </w:rPr>
        <w:t> </w:t>
      </w:r>
      <w:r w:rsidRPr="008166D7">
        <w:rPr>
          <w:rFonts w:eastAsia="Gadugi"/>
          <w:lang w:bidi="fr-CA"/>
        </w:rPr>
        <w:t>», et de nombreuses autres collectivités dont les centrales électriques vieillissantes devront être remplacées.</w:t>
      </w:r>
    </w:p>
    <w:p w14:paraId="7262C938" w14:textId="328731CF" w:rsidR="00AE48E4" w:rsidRPr="008166D7" w:rsidRDefault="00813998" w:rsidP="00AE48E4">
      <w:pPr>
        <w:pStyle w:val="Corpsdetexte"/>
        <w:ind w:hanging="530"/>
      </w:pPr>
      <w:r w:rsidRPr="008166D7">
        <w:rPr>
          <w:rFonts w:eastAsia="Gadugi"/>
          <w:lang w:bidi="fr-CA"/>
        </w:rPr>
        <w:t>La SÉQ a indiqué qu</w:t>
      </w:r>
      <w:r w:rsidR="00296C2D">
        <w:rPr>
          <w:rFonts w:eastAsia="Gadugi"/>
          <w:lang w:bidi="fr-CA"/>
        </w:rPr>
        <w:t>’</w:t>
      </w:r>
      <w:r w:rsidRPr="008166D7">
        <w:rPr>
          <w:rFonts w:eastAsia="Gadugi"/>
          <w:lang w:bidi="fr-CA"/>
        </w:rPr>
        <w:t>elle envisageait de régler une partie de sa dette avec la Banque impériale de commerce du Canada (CIBC) et le GN afin d</w:t>
      </w:r>
      <w:r w:rsidR="00296C2D">
        <w:rPr>
          <w:rFonts w:eastAsia="Gadugi"/>
          <w:lang w:bidi="fr-CA"/>
        </w:rPr>
        <w:t>’</w:t>
      </w:r>
      <w:r w:rsidRPr="008166D7">
        <w:rPr>
          <w:rFonts w:eastAsia="Gadugi"/>
          <w:lang w:bidi="fr-CA"/>
        </w:rPr>
        <w:t>atténuer les risques posés par de nouvelles hausses des taux d</w:t>
      </w:r>
      <w:r w:rsidR="00296C2D">
        <w:rPr>
          <w:rFonts w:eastAsia="Gadugi"/>
          <w:lang w:bidi="fr-CA"/>
        </w:rPr>
        <w:t>’</w:t>
      </w:r>
      <w:r w:rsidRPr="008166D7">
        <w:rPr>
          <w:rFonts w:eastAsia="Gadugi"/>
          <w:lang w:bidi="fr-CA"/>
        </w:rPr>
        <w:t>intérêt.</w:t>
      </w:r>
    </w:p>
    <w:p w14:paraId="7262C939" w14:textId="70449C62" w:rsidR="00771DEF" w:rsidRPr="008166D7" w:rsidRDefault="00813998" w:rsidP="00771DEF">
      <w:pPr>
        <w:pStyle w:val="Corpsdetexte"/>
        <w:ind w:hanging="530"/>
        <w:rPr>
          <w:lang w:val="fr-FR"/>
        </w:rPr>
      </w:pPr>
      <w:r w:rsidRPr="008166D7">
        <w:rPr>
          <w:rFonts w:eastAsia="Gadugi"/>
          <w:lang w:bidi="fr-CA"/>
        </w:rPr>
        <w:t xml:space="preserve">En vertu de la </w:t>
      </w:r>
      <w:r w:rsidRPr="008166D7">
        <w:rPr>
          <w:rFonts w:eastAsia="Gadugi"/>
          <w:i/>
          <w:lang w:bidi="fr-CA"/>
        </w:rPr>
        <w:t>Loi sur le Nunavut</w:t>
      </w:r>
      <w:r w:rsidRPr="008166D7">
        <w:rPr>
          <w:rFonts w:eastAsia="Gadugi"/>
          <w:lang w:bidi="fr-CA"/>
        </w:rPr>
        <w:t>, le GN peut emprunter jusqu</w:t>
      </w:r>
      <w:r w:rsidR="00296C2D">
        <w:rPr>
          <w:rFonts w:eastAsia="Gadugi"/>
          <w:lang w:bidi="fr-CA"/>
        </w:rPr>
        <w:t>’</w:t>
      </w:r>
      <w:r w:rsidRPr="008166D7">
        <w:rPr>
          <w:rFonts w:eastAsia="Gadugi"/>
          <w:lang w:bidi="fr-CA"/>
        </w:rPr>
        <w:t>à une limite fixée par le gouverneur en conseil sur la recommandation du ministre des Finances. Le CETES comprend que cette limite d</w:t>
      </w:r>
      <w:r w:rsidR="00296C2D">
        <w:rPr>
          <w:rFonts w:eastAsia="Gadugi"/>
          <w:lang w:bidi="fr-CA"/>
        </w:rPr>
        <w:t>’</w:t>
      </w:r>
      <w:r w:rsidRPr="008166D7">
        <w:rPr>
          <w:rFonts w:eastAsia="Gadugi"/>
          <w:lang w:bidi="fr-CA"/>
        </w:rPr>
        <w:t>emprunt comprend les dettes contractées à la fois par le GN et ses sociétés territoriales telles que la SÉQ.</w:t>
      </w:r>
    </w:p>
    <w:p w14:paraId="7262C93A" w14:textId="22626CF1" w:rsidR="00771DEF" w:rsidRPr="008166D7" w:rsidRDefault="00813998" w:rsidP="00771DEF">
      <w:pPr>
        <w:pStyle w:val="Corpsdetexte"/>
        <w:ind w:hanging="530"/>
        <w:rPr>
          <w:lang w:val="fr-FR"/>
        </w:rPr>
      </w:pPr>
      <w:r w:rsidRPr="008166D7">
        <w:rPr>
          <w:rFonts w:eastAsia="Gadugi"/>
          <w:lang w:bidi="fr-CA"/>
        </w:rPr>
        <w:t>Le CETES indique que la dette de la SÉQ (tel qu’indiqué dans la réponse à la DI URRC-QEC-2-7) doit être incluse dans le plafond de la dette territoriale de 750 millions de dollars du GN, et qu</w:t>
      </w:r>
      <w:r w:rsidR="00296C2D">
        <w:rPr>
          <w:rFonts w:eastAsia="Gadugi"/>
          <w:lang w:bidi="fr-CA"/>
        </w:rPr>
        <w:t>’</w:t>
      </w:r>
      <w:r w:rsidRPr="008166D7">
        <w:rPr>
          <w:rFonts w:eastAsia="Gadugi"/>
          <w:lang w:bidi="fr-CA"/>
        </w:rPr>
        <w:t>elle est tenue de demander l</w:t>
      </w:r>
      <w:r w:rsidR="00296C2D">
        <w:rPr>
          <w:rFonts w:eastAsia="Gadugi"/>
          <w:lang w:bidi="fr-CA"/>
        </w:rPr>
        <w:t>’</w:t>
      </w:r>
      <w:r w:rsidRPr="008166D7">
        <w:rPr>
          <w:rFonts w:eastAsia="Gadugi"/>
          <w:lang w:bidi="fr-CA"/>
        </w:rPr>
        <w:t>approbation du GN pour sa portion du plafond de la dette. La SÉQ a indiqué qu</w:t>
      </w:r>
      <w:r w:rsidR="00296C2D">
        <w:rPr>
          <w:rFonts w:eastAsia="Gadugi"/>
          <w:lang w:bidi="fr-CA"/>
        </w:rPr>
        <w:t>’</w:t>
      </w:r>
      <w:r w:rsidRPr="008166D7">
        <w:rPr>
          <w:rFonts w:eastAsia="Gadugi"/>
          <w:lang w:bidi="fr-CA"/>
        </w:rPr>
        <w:t>elle avait reçu l</w:t>
      </w:r>
      <w:r w:rsidR="00296C2D">
        <w:rPr>
          <w:rFonts w:eastAsia="Gadugi"/>
          <w:lang w:bidi="fr-CA"/>
        </w:rPr>
        <w:t>’</w:t>
      </w:r>
      <w:r w:rsidRPr="008166D7">
        <w:rPr>
          <w:rFonts w:eastAsia="Gadugi"/>
          <w:lang w:bidi="fr-CA"/>
        </w:rPr>
        <w:t>autorisation d</w:t>
      </w:r>
      <w:r w:rsidR="00296C2D">
        <w:rPr>
          <w:rFonts w:eastAsia="Gadugi"/>
          <w:lang w:bidi="fr-CA"/>
        </w:rPr>
        <w:t>’</w:t>
      </w:r>
      <w:r w:rsidRPr="008166D7">
        <w:rPr>
          <w:rFonts w:eastAsia="Gadugi"/>
          <w:lang w:bidi="fr-CA"/>
        </w:rPr>
        <w:t>augmenter sa limite d</w:t>
      </w:r>
      <w:r w:rsidR="00296C2D">
        <w:rPr>
          <w:rFonts w:eastAsia="Gadugi"/>
          <w:lang w:bidi="fr-CA"/>
        </w:rPr>
        <w:t>’</w:t>
      </w:r>
      <w:r w:rsidRPr="008166D7">
        <w:rPr>
          <w:rFonts w:eastAsia="Gadugi"/>
          <w:lang w:bidi="fr-CA"/>
        </w:rPr>
        <w:t>endettement de 50 millions de dollars, le faisant passer de 250 à 300 millions de dollars, soit 40</w:t>
      </w:r>
      <w:r w:rsidR="00296C2D">
        <w:rPr>
          <w:rFonts w:eastAsia="Gadugi"/>
          <w:lang w:bidi="fr-CA"/>
        </w:rPr>
        <w:t> </w:t>
      </w:r>
      <w:r w:rsidRPr="008166D7">
        <w:rPr>
          <w:rFonts w:eastAsia="Gadugi"/>
          <w:lang w:bidi="fr-CA"/>
        </w:rPr>
        <w:t>% de la limite d</w:t>
      </w:r>
      <w:r w:rsidR="00296C2D">
        <w:rPr>
          <w:rFonts w:eastAsia="Gadugi"/>
          <w:lang w:bidi="fr-CA"/>
        </w:rPr>
        <w:t>’</w:t>
      </w:r>
      <w:r w:rsidRPr="008166D7">
        <w:rPr>
          <w:rFonts w:eastAsia="Gadugi"/>
          <w:lang w:bidi="fr-CA"/>
        </w:rPr>
        <w:t>endettement territorial du GN.</w:t>
      </w:r>
    </w:p>
    <w:p w14:paraId="7262C93B" w14:textId="64C78361" w:rsidR="00532C53" w:rsidRPr="008166D7" w:rsidRDefault="00813998" w:rsidP="00771DEF">
      <w:pPr>
        <w:pStyle w:val="Corpsdetexte"/>
        <w:ind w:hanging="530"/>
        <w:rPr>
          <w:lang w:val="fr-FR"/>
        </w:rPr>
      </w:pPr>
      <w:r w:rsidRPr="008166D7">
        <w:rPr>
          <w:rFonts w:eastAsia="Gadugi"/>
          <w:lang w:bidi="fr-CA"/>
        </w:rPr>
        <w:t>Le CETES recommande que dans la prochaine RMTG, la SÉQ fournisse des prévisions à long terme de ses obligations en matière de dette et de son plan de financement.</w:t>
      </w:r>
    </w:p>
    <w:p w14:paraId="7262C93C"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lastRenderedPageBreak/>
        <w:t>CAPITAL À TITRE GRATUIT</w:t>
      </w:r>
    </w:p>
    <w:p w14:paraId="7262C93E" w14:textId="3DEFE744" w:rsidR="00911CBD" w:rsidRPr="008166D7" w:rsidRDefault="00813998" w:rsidP="00911CBD">
      <w:pPr>
        <w:pStyle w:val="Corpsdetexte"/>
        <w:ind w:hanging="530"/>
      </w:pPr>
      <w:r w:rsidRPr="008166D7">
        <w:rPr>
          <w:rFonts w:eastAsia="Gadugi"/>
          <w:lang w:bidi="fr-CA"/>
        </w:rPr>
        <w:t>Dans l</w:t>
      </w:r>
      <w:r w:rsidR="00296C2D">
        <w:rPr>
          <w:rFonts w:eastAsia="Gadugi"/>
          <w:lang w:bidi="fr-CA"/>
        </w:rPr>
        <w:t>’</w:t>
      </w:r>
      <w:r w:rsidRPr="008166D7">
        <w:rPr>
          <w:rFonts w:eastAsia="Gadugi"/>
          <w:lang w:bidi="fr-CA"/>
        </w:rPr>
        <w:t>annexe 4.5 de la demande, la SÉQ a présenté des informations sur le capital à titre gratuit utilisé dans la détermination du rendement de la base tarifaire. Les montants et la méthode semblent être conformes aux méthodes approuvées précédemment.</w:t>
      </w:r>
    </w:p>
    <w:p w14:paraId="7262C93F" w14:textId="74A624B2" w:rsidR="00911CBD" w:rsidRPr="008166D7" w:rsidRDefault="00813998" w:rsidP="00911CBD">
      <w:pPr>
        <w:pStyle w:val="Corpsdetexte"/>
        <w:ind w:hanging="530"/>
      </w:pPr>
      <w:r w:rsidRPr="008166D7">
        <w:rPr>
          <w:rFonts w:eastAsia="Gadugi"/>
          <w:lang w:bidi="fr-CA"/>
        </w:rPr>
        <w:t>Le CETES indique qu</w:t>
      </w:r>
      <w:r w:rsidR="00296C2D">
        <w:rPr>
          <w:rFonts w:eastAsia="Gadugi"/>
          <w:lang w:bidi="fr-CA"/>
        </w:rPr>
        <w:t>’</w:t>
      </w:r>
      <w:r w:rsidRPr="008166D7">
        <w:rPr>
          <w:rFonts w:eastAsia="Gadugi"/>
          <w:lang w:bidi="fr-CA"/>
        </w:rPr>
        <w:t>il n</w:t>
      </w:r>
      <w:r w:rsidR="00296C2D">
        <w:rPr>
          <w:rFonts w:eastAsia="Gadugi"/>
          <w:lang w:bidi="fr-CA"/>
        </w:rPr>
        <w:t>’</w:t>
      </w:r>
      <w:r w:rsidRPr="008166D7">
        <w:rPr>
          <w:rFonts w:eastAsia="Gadugi"/>
          <w:lang w:bidi="fr-CA"/>
        </w:rPr>
        <w:t>y a pas de rendement calculé en ce qui concerne le capital à titre gratuit, mais qu</w:t>
      </w:r>
      <w:r w:rsidR="00296C2D">
        <w:rPr>
          <w:rFonts w:eastAsia="Gadugi"/>
          <w:lang w:bidi="fr-CA"/>
        </w:rPr>
        <w:t>’</w:t>
      </w:r>
      <w:r w:rsidRPr="008166D7">
        <w:rPr>
          <w:rFonts w:eastAsia="Gadugi"/>
          <w:lang w:bidi="fr-CA"/>
        </w:rPr>
        <w:t>il s</w:t>
      </w:r>
      <w:r w:rsidR="00296C2D">
        <w:rPr>
          <w:rFonts w:eastAsia="Gadugi"/>
          <w:lang w:bidi="fr-CA"/>
        </w:rPr>
        <w:t>’</w:t>
      </w:r>
      <w:r w:rsidRPr="008166D7">
        <w:rPr>
          <w:rFonts w:eastAsia="Gadugi"/>
          <w:lang w:bidi="fr-CA"/>
        </w:rPr>
        <w:t>agit d</w:t>
      </w:r>
      <w:r w:rsidR="00296C2D">
        <w:rPr>
          <w:rFonts w:eastAsia="Gadugi"/>
          <w:lang w:bidi="fr-CA"/>
        </w:rPr>
        <w:t>’</w:t>
      </w:r>
      <w:r w:rsidRPr="008166D7">
        <w:rPr>
          <w:rFonts w:eastAsia="Gadugi"/>
          <w:lang w:bidi="fr-CA"/>
        </w:rPr>
        <w:t>un élément du rendement réputé de la base tarifaire. Le CETES estime que le capital à titre gratuit reflété dans les annexes 4.4 et 4.5 de la demande est raisonnable.</w:t>
      </w:r>
    </w:p>
    <w:p w14:paraId="7262C940"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ACTIONS ORDINAIRES</w:t>
      </w:r>
    </w:p>
    <w:p w14:paraId="7262C942" w14:textId="4CCCD6B3" w:rsidR="00911CBD" w:rsidRPr="008166D7" w:rsidRDefault="00813998" w:rsidP="00911CBD">
      <w:pPr>
        <w:pStyle w:val="Corpsdetexte"/>
        <w:ind w:hanging="530"/>
      </w:pPr>
      <w:r w:rsidRPr="008166D7">
        <w:rPr>
          <w:rFonts w:eastAsia="Gadugi"/>
          <w:lang w:bidi="fr-CA"/>
        </w:rPr>
        <w:t>La SÉQ a indiqué que le ratio réputé des actions ordinaires de 40 % et son RCP de 8,3 % devraient rester inchangés par rapport à la RMTG de 2018-2019. La SÉQ a indiqué que le ratio de 40 % d</w:t>
      </w:r>
      <w:r w:rsidR="00296C2D">
        <w:rPr>
          <w:rFonts w:eastAsia="Gadugi"/>
          <w:lang w:bidi="fr-CA"/>
        </w:rPr>
        <w:t>’</w:t>
      </w:r>
      <w:r w:rsidRPr="008166D7">
        <w:rPr>
          <w:rFonts w:eastAsia="Gadugi"/>
          <w:lang w:bidi="fr-CA"/>
        </w:rPr>
        <w:t>actions ordinaires avait été initialement approuvé dans la RMTG de 2010-2011 et qu</w:t>
      </w:r>
      <w:r w:rsidR="00296C2D">
        <w:rPr>
          <w:rFonts w:eastAsia="Gadugi"/>
          <w:lang w:bidi="fr-CA"/>
        </w:rPr>
        <w:t>’</w:t>
      </w:r>
      <w:r w:rsidRPr="008166D7">
        <w:rPr>
          <w:rFonts w:eastAsia="Gadugi"/>
          <w:lang w:bidi="fr-CA"/>
        </w:rPr>
        <w:t>il demeurait approprié. La SÉQ a également noté que le RCP de 8,3 % ne devrait pas changer si l</w:t>
      </w:r>
      <w:r w:rsidR="00296C2D">
        <w:rPr>
          <w:rFonts w:eastAsia="Gadugi"/>
          <w:lang w:bidi="fr-CA"/>
        </w:rPr>
        <w:t>’</w:t>
      </w:r>
      <w:r w:rsidRPr="008166D7">
        <w:rPr>
          <w:rFonts w:eastAsia="Gadugi"/>
          <w:lang w:bidi="fr-CA"/>
        </w:rPr>
        <w:t xml:space="preserve">on compare les rendements des capitaux propres approuvés pour la Northwest </w:t>
      </w:r>
      <w:proofErr w:type="spellStart"/>
      <w:r w:rsidRPr="008166D7">
        <w:rPr>
          <w:rFonts w:eastAsia="Gadugi"/>
          <w:lang w:bidi="fr-CA"/>
        </w:rPr>
        <w:t>Territories</w:t>
      </w:r>
      <w:proofErr w:type="spellEnd"/>
      <w:r w:rsidRPr="008166D7">
        <w:rPr>
          <w:rFonts w:eastAsia="Gadugi"/>
          <w:lang w:bidi="fr-CA"/>
        </w:rPr>
        <w:t xml:space="preserve"> Power Corporation, la Yukon </w:t>
      </w:r>
      <w:proofErr w:type="spellStart"/>
      <w:r w:rsidRPr="008166D7">
        <w:rPr>
          <w:rFonts w:eastAsia="Gadugi"/>
          <w:lang w:bidi="fr-CA"/>
        </w:rPr>
        <w:t>Electrical</w:t>
      </w:r>
      <w:proofErr w:type="spellEnd"/>
      <w:r w:rsidRPr="008166D7">
        <w:rPr>
          <w:rFonts w:eastAsia="Gadugi"/>
          <w:lang w:bidi="fr-CA"/>
        </w:rPr>
        <w:t xml:space="preserve"> </w:t>
      </w:r>
      <w:proofErr w:type="spellStart"/>
      <w:r w:rsidRPr="008166D7">
        <w:rPr>
          <w:rFonts w:eastAsia="Gadugi"/>
          <w:lang w:bidi="fr-CA"/>
        </w:rPr>
        <w:t>Company</w:t>
      </w:r>
      <w:proofErr w:type="spellEnd"/>
      <w:r w:rsidRPr="008166D7">
        <w:rPr>
          <w:rFonts w:eastAsia="Gadugi"/>
          <w:lang w:bidi="fr-CA"/>
        </w:rPr>
        <w:t xml:space="preserve"> Limited et la Yukon Energy Corporation.</w:t>
      </w:r>
    </w:p>
    <w:p w14:paraId="7262C943" w14:textId="77777777" w:rsidR="00911CBD" w:rsidRPr="008166D7" w:rsidRDefault="00813998" w:rsidP="00911CBD">
      <w:pPr>
        <w:pStyle w:val="Corpsdetexte"/>
        <w:ind w:hanging="530"/>
      </w:pPr>
      <w:r w:rsidRPr="008166D7">
        <w:rPr>
          <w:rFonts w:eastAsia="Gadugi"/>
          <w:lang w:bidi="fr-CA"/>
        </w:rPr>
        <w:t>Le CETES indique que le RCP utilisé dans les prévisions pour 2022-2023 est conforme à la RMTG de 2018-2019 et se situe dans la fourchette des rendements des capitaux propres des autres services publics auxquels la SÉQ a fait référence.</w:t>
      </w:r>
    </w:p>
    <w:p w14:paraId="7262C944" w14:textId="7C7E6169" w:rsidR="00911CBD" w:rsidRPr="008166D7" w:rsidRDefault="00813998" w:rsidP="00911CBD">
      <w:pPr>
        <w:pStyle w:val="Corpsdetexte"/>
        <w:ind w:hanging="530"/>
      </w:pPr>
      <w:r w:rsidRPr="008166D7">
        <w:rPr>
          <w:rFonts w:eastAsia="Gadugi"/>
          <w:lang w:bidi="fr-CA"/>
        </w:rPr>
        <w:t>Le CETES estime que le RCP de 8,3</w:t>
      </w:r>
      <w:r w:rsidR="00296C2D">
        <w:rPr>
          <w:rFonts w:eastAsia="Gadugi"/>
          <w:lang w:bidi="fr-CA"/>
        </w:rPr>
        <w:t> </w:t>
      </w:r>
      <w:r w:rsidRPr="008166D7">
        <w:rPr>
          <w:rFonts w:eastAsia="Gadugi"/>
          <w:lang w:bidi="fr-CA"/>
        </w:rPr>
        <w:t>% pour 2022-2023 est raisonnable. Le CETES estime également que les prévisions de la portion des actions ordinaires du rendement de la base tarifaire de 10,140 millions de dollars, telles que déterminées dans l</w:t>
      </w:r>
      <w:r w:rsidR="00296C2D">
        <w:rPr>
          <w:rFonts w:eastAsia="Gadugi"/>
          <w:lang w:bidi="fr-CA"/>
        </w:rPr>
        <w:t>’</w:t>
      </w:r>
      <w:r w:rsidRPr="008166D7">
        <w:rPr>
          <w:rFonts w:eastAsia="Gadugi"/>
          <w:lang w:bidi="fr-CA"/>
        </w:rPr>
        <w:t>annexe 4.4, sont raisonnables.</w:t>
      </w:r>
    </w:p>
    <w:p w14:paraId="7262C945" w14:textId="77777777" w:rsidR="00911CBD" w:rsidRPr="008166D7" w:rsidRDefault="00813998" w:rsidP="00911CBD">
      <w:pPr>
        <w:pStyle w:val="Heading2URRC"/>
        <w:rPr>
          <w:rFonts w:ascii="Times New Roman" w:hAnsi="Times New Roman"/>
        </w:rPr>
      </w:pPr>
      <w:r w:rsidRPr="008166D7">
        <w:rPr>
          <w:rFonts w:ascii="Times New Roman" w:eastAsia="Gadugi" w:hAnsi="Times New Roman"/>
          <w:lang w:bidi="fr-CA"/>
        </w:rPr>
        <w:t>BASE TARIFAIRE</w:t>
      </w:r>
    </w:p>
    <w:p w14:paraId="7262C947" w14:textId="51AEBAEA" w:rsidR="00911CBD" w:rsidRPr="008166D7" w:rsidRDefault="00813998" w:rsidP="00911CBD">
      <w:pPr>
        <w:pStyle w:val="Corpsdetexte"/>
        <w:ind w:hanging="530"/>
      </w:pPr>
      <w:r w:rsidRPr="008166D7">
        <w:rPr>
          <w:rFonts w:eastAsia="Gadugi"/>
          <w:lang w:bidi="fr-CA"/>
        </w:rPr>
        <w:t>Dans l</w:t>
      </w:r>
      <w:r w:rsidR="00296C2D">
        <w:rPr>
          <w:rFonts w:eastAsia="Gadugi"/>
          <w:lang w:bidi="fr-CA"/>
        </w:rPr>
        <w:t>’</w:t>
      </w:r>
      <w:r w:rsidRPr="008166D7">
        <w:rPr>
          <w:rFonts w:eastAsia="Gadugi"/>
          <w:lang w:bidi="fr-CA"/>
        </w:rPr>
        <w:t>annexe 6.1 de la demande, la SÉQ a fourni des détails concernant ses prévisions de base tarifaire en milieu d’exercice 2022-2023 de 305,425 millions de dollars, soit une augmentation de 58,684 millions de dollars par rapport à la RMTG de 2018-2019. Le CETES indique que l</w:t>
      </w:r>
      <w:r w:rsidR="00296C2D">
        <w:rPr>
          <w:rFonts w:eastAsia="Gadugi"/>
          <w:lang w:bidi="fr-CA"/>
        </w:rPr>
        <w:t>’</w:t>
      </w:r>
      <w:r w:rsidRPr="008166D7">
        <w:rPr>
          <w:rFonts w:eastAsia="Gadugi"/>
          <w:lang w:bidi="fr-CA"/>
        </w:rPr>
        <w:t xml:space="preserve">augmentation en milieu d’exercice de la base tarifaire reflète </w:t>
      </w:r>
      <w:r w:rsidRPr="008166D7">
        <w:rPr>
          <w:rFonts w:eastAsia="Gadugi"/>
          <w:lang w:bidi="fr-CA"/>
        </w:rPr>
        <w:lastRenderedPageBreak/>
        <w:t>les acquisitions d</w:t>
      </w:r>
      <w:r w:rsidR="00296C2D">
        <w:rPr>
          <w:rFonts w:eastAsia="Gadugi"/>
          <w:lang w:bidi="fr-CA"/>
        </w:rPr>
        <w:t>’</w:t>
      </w:r>
      <w:r w:rsidRPr="008166D7">
        <w:rPr>
          <w:rFonts w:eastAsia="Gadugi"/>
          <w:lang w:bidi="fr-CA"/>
        </w:rPr>
        <w:t>immobilisations depuis 2018-2019, partiellement compensées par la charge d</w:t>
      </w:r>
      <w:r w:rsidR="00296C2D">
        <w:rPr>
          <w:rFonts w:eastAsia="Gadugi"/>
          <w:lang w:bidi="fr-CA"/>
        </w:rPr>
        <w:t>’</w:t>
      </w:r>
      <w:r w:rsidRPr="008166D7">
        <w:rPr>
          <w:rFonts w:eastAsia="Gadugi"/>
          <w:lang w:bidi="fr-CA"/>
        </w:rPr>
        <w:t>amortissement depuis 2018-2019. Le CETES indique que la SÉQ a fourni des historiques (tableaux 6.1 à 6.4 de la demande) et des détails/hypothèses (annexe B, tableaux 6.5 à 6.9, et une étude des délais de paiement de la RMTG de 2010-2011 fournie dans la réponse à la DI URRC</w:t>
      </w:r>
      <w:r w:rsidR="00BF4B67" w:rsidRPr="008166D7">
        <w:rPr>
          <w:rFonts w:eastAsia="Gadugi"/>
          <w:lang w:bidi="fr-CA"/>
        </w:rPr>
        <w:noBreakHyphen/>
      </w:r>
      <w:r w:rsidRPr="008166D7">
        <w:rPr>
          <w:rFonts w:eastAsia="Gadugi"/>
          <w:lang w:bidi="fr-CA"/>
        </w:rPr>
        <w:t>QEC-1-21) pour soutenir les immobilisations brutes de production en service, l</w:t>
      </w:r>
      <w:r w:rsidR="00296C2D">
        <w:rPr>
          <w:rFonts w:eastAsia="Gadugi"/>
          <w:lang w:bidi="fr-CA"/>
        </w:rPr>
        <w:t>’</w:t>
      </w:r>
      <w:r w:rsidRPr="008166D7">
        <w:rPr>
          <w:rFonts w:eastAsia="Gadugi"/>
          <w:lang w:bidi="fr-CA"/>
        </w:rPr>
        <w:t xml:space="preserve">amortissement cumulé et le fonds de roulement. </w:t>
      </w:r>
    </w:p>
    <w:p w14:paraId="7262C948" w14:textId="2FDE7F2E" w:rsidR="00DD57A1" w:rsidRPr="008166D7" w:rsidRDefault="00813998" w:rsidP="00DD57A1">
      <w:pPr>
        <w:pStyle w:val="Corpsdetexte"/>
        <w:ind w:hanging="530"/>
      </w:pPr>
      <w:r w:rsidRPr="008166D7">
        <w:rPr>
          <w:rFonts w:eastAsia="Gadugi"/>
          <w:lang w:bidi="fr-CA"/>
        </w:rPr>
        <w:t>Le CETES a demandé plusieurs DI (URRC-QEC-1-22, URRC-QEC-1-23, et URRC-QEC-2-11) sur les différents éléments qui sont utilisés pour déterminer la base tarifaire en milieu d’exercice. La SÉQ a répondu aux DI en fournissant des informations utiles. Chaque élément de la base tarifaire en milieu d’exercice sera examiné plus en détail dans les sections ci-dessous.</w:t>
      </w:r>
    </w:p>
    <w:p w14:paraId="7262C949" w14:textId="4D68A967" w:rsidR="00911CBD" w:rsidRPr="008166D7" w:rsidRDefault="00813998" w:rsidP="00911CBD">
      <w:pPr>
        <w:pStyle w:val="Corpsdetexte"/>
        <w:ind w:hanging="530"/>
      </w:pPr>
      <w:r w:rsidRPr="008166D7">
        <w:rPr>
          <w:rFonts w:eastAsia="Gadugi"/>
          <w:lang w:bidi="fr-CA"/>
        </w:rPr>
        <w:t>Le CETES a examiné les explications fournies par la SÉQ dans la demande et en réponse aux DI, ainsi que les annexes 6.1 à 6.9 de la demande. Le CETES estime que les prévisions de base tarifaire en milieu d’exercice pour 2022-2023 sont raisonnables, sous réserve des recommandations formulées dans les sections ci-dessous.</w:t>
      </w:r>
    </w:p>
    <w:p w14:paraId="7262C94A"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IMMOBILISATIONS BRUTES DE PRODUCTION EN SERVICE</w:t>
      </w:r>
    </w:p>
    <w:p w14:paraId="7262C94C" w14:textId="39D8EFEA" w:rsidR="00911CBD" w:rsidRPr="008166D7" w:rsidRDefault="00813998" w:rsidP="00911CBD">
      <w:pPr>
        <w:pStyle w:val="Corpsdetexte"/>
        <w:ind w:hanging="530"/>
      </w:pPr>
      <w:r w:rsidRPr="008166D7">
        <w:rPr>
          <w:rFonts w:eastAsia="Gadugi"/>
          <w:lang w:bidi="fr-CA"/>
        </w:rPr>
        <w:t>La SÉQ a fourni les historiques 6.1 et 6.2 ainsi que l</w:t>
      </w:r>
      <w:r w:rsidR="00296C2D">
        <w:rPr>
          <w:rFonts w:eastAsia="Gadugi"/>
          <w:lang w:bidi="fr-CA"/>
        </w:rPr>
        <w:t>’</w:t>
      </w:r>
      <w:r w:rsidRPr="008166D7">
        <w:rPr>
          <w:rFonts w:eastAsia="Gadugi"/>
          <w:lang w:bidi="fr-CA"/>
        </w:rPr>
        <w:t>annexe B de la demande à l</w:t>
      </w:r>
      <w:r w:rsidR="00296C2D">
        <w:rPr>
          <w:rFonts w:eastAsia="Gadugi"/>
          <w:lang w:bidi="fr-CA"/>
        </w:rPr>
        <w:t>’</w:t>
      </w:r>
      <w:r w:rsidRPr="008166D7">
        <w:rPr>
          <w:rFonts w:eastAsia="Gadugi"/>
          <w:lang w:bidi="fr-CA"/>
        </w:rPr>
        <w:t>appui des prévisions relatives aux immobilisations brutes de production en service. Le CETES indique qu</w:t>
      </w:r>
      <w:r w:rsidR="00296C2D">
        <w:rPr>
          <w:rFonts w:eastAsia="Gadugi"/>
          <w:lang w:bidi="fr-CA"/>
        </w:rPr>
        <w:t>’</w:t>
      </w:r>
      <w:r w:rsidRPr="008166D7">
        <w:rPr>
          <w:rFonts w:eastAsia="Gadugi"/>
          <w:lang w:bidi="fr-CA"/>
        </w:rPr>
        <w:t>il y a eu des ajouts importants presque tous les ans depuis la RMTG de 2018-2019, et que certains des projets ont reçu un financement du FEA. Ces ajouts se rapportent principalement à des projets liés aux centrales électriques (55,287 millions de dollars), mais il y a également eu des dépenses importantes pour les installations générales (31,143 millions de dollars) et les installations de production d</w:t>
      </w:r>
      <w:r w:rsidR="00296C2D">
        <w:rPr>
          <w:rFonts w:eastAsia="Gadugi"/>
          <w:lang w:bidi="fr-CA"/>
        </w:rPr>
        <w:t>’</w:t>
      </w:r>
      <w:r w:rsidRPr="008166D7">
        <w:rPr>
          <w:rFonts w:eastAsia="Gadugi"/>
          <w:lang w:bidi="fr-CA"/>
        </w:rPr>
        <w:t>électricité (12,240 millions de dollars). Des détails supplémentaires ont été fournis dans l</w:t>
      </w:r>
      <w:r w:rsidR="00296C2D">
        <w:rPr>
          <w:rFonts w:eastAsia="Gadugi"/>
          <w:lang w:bidi="fr-CA"/>
        </w:rPr>
        <w:t>’</w:t>
      </w:r>
      <w:r w:rsidRPr="008166D7">
        <w:rPr>
          <w:rFonts w:eastAsia="Gadugi"/>
          <w:lang w:bidi="fr-CA"/>
        </w:rPr>
        <w:t>annexe B de la demande, y compris les montants compensés par le financement du FEA et les contributions des clients.</w:t>
      </w:r>
    </w:p>
    <w:p w14:paraId="7262C94D" w14:textId="79A2A755" w:rsidR="00662AC5" w:rsidRPr="008166D7" w:rsidRDefault="00813998" w:rsidP="00911CBD">
      <w:pPr>
        <w:pStyle w:val="Corpsdetexte"/>
        <w:ind w:hanging="530"/>
      </w:pPr>
      <w:r w:rsidRPr="008166D7">
        <w:rPr>
          <w:rFonts w:eastAsia="Gadugi"/>
          <w:lang w:bidi="fr-CA"/>
        </w:rPr>
        <w:t>Le CETES a posé des questions sur la certitude des additions dans les prévisions pour 2022-2023 dans la DI URRC</w:t>
      </w:r>
      <w:r w:rsidR="00C10A16" w:rsidRPr="008166D7">
        <w:rPr>
          <w:rFonts w:eastAsia="Gadugi"/>
          <w:lang w:bidi="fr-CA"/>
        </w:rPr>
        <w:noBreakHyphen/>
      </w:r>
      <w:r w:rsidRPr="008166D7">
        <w:rPr>
          <w:rFonts w:eastAsia="Gadugi"/>
          <w:lang w:bidi="fr-CA"/>
        </w:rPr>
        <w:t>QEC-2-11. La SÉQ a répondu que, bien qu</w:t>
      </w:r>
      <w:r w:rsidR="00296C2D">
        <w:rPr>
          <w:rFonts w:eastAsia="Gadugi"/>
          <w:lang w:bidi="fr-CA"/>
        </w:rPr>
        <w:t>’</w:t>
      </w:r>
      <w:r w:rsidRPr="008166D7">
        <w:rPr>
          <w:rFonts w:eastAsia="Gadugi"/>
          <w:lang w:bidi="fr-CA"/>
        </w:rPr>
        <w:t xml:space="preserve">il existe une </w:t>
      </w:r>
      <w:r w:rsidRPr="008166D7">
        <w:rPr>
          <w:rFonts w:eastAsia="Gadugi"/>
          <w:lang w:bidi="fr-CA"/>
        </w:rPr>
        <w:lastRenderedPageBreak/>
        <w:t>certaine incertitude quant au calendrier des projets, les prévisions étaient fondées à partir des meilleures informations disponibles.</w:t>
      </w:r>
    </w:p>
    <w:p w14:paraId="7262C94E" w14:textId="2588B7A3" w:rsidR="0024104B" w:rsidRPr="008166D7" w:rsidRDefault="00813998" w:rsidP="00911CBD">
      <w:pPr>
        <w:pStyle w:val="Corpsdetexte"/>
        <w:ind w:hanging="530"/>
      </w:pPr>
      <w:r w:rsidRPr="008166D7">
        <w:rPr>
          <w:rFonts w:eastAsia="Gadugi"/>
          <w:lang w:bidi="fr-CA"/>
        </w:rPr>
        <w:t>Le CETES a posé des questions sur les cessions réelles dans la DI URRC-QEC-1-23. La SÉQ a fourni des détails sur les cessions en 2018-2019 et en 2020-2021. Les informations fournies étaient utiles, mais le CETES est préoccupé par le fait que les prévisions de cessions n</w:t>
      </w:r>
      <w:r w:rsidR="00296C2D">
        <w:rPr>
          <w:rFonts w:eastAsia="Gadugi"/>
          <w:lang w:bidi="fr-CA"/>
        </w:rPr>
        <w:t>’</w:t>
      </w:r>
      <w:r w:rsidRPr="008166D7">
        <w:rPr>
          <w:rFonts w:eastAsia="Gadugi"/>
          <w:lang w:bidi="fr-CA"/>
        </w:rPr>
        <w:t>ont pas été établies en 2022-2023. Le CETES a demandé des informations concernant les mises hors service de centrales et les travaux d</w:t>
      </w:r>
      <w:r w:rsidR="00296C2D">
        <w:rPr>
          <w:rFonts w:eastAsia="Gadugi"/>
          <w:lang w:bidi="fr-CA"/>
        </w:rPr>
        <w:t>’</w:t>
      </w:r>
      <w:r w:rsidRPr="008166D7">
        <w:rPr>
          <w:rFonts w:eastAsia="Gadugi"/>
          <w:lang w:bidi="fr-CA"/>
        </w:rPr>
        <w:t>enlèvement et d</w:t>
      </w:r>
      <w:r w:rsidR="00296C2D">
        <w:rPr>
          <w:rFonts w:eastAsia="Gadugi"/>
          <w:lang w:bidi="fr-CA"/>
        </w:rPr>
        <w:t>’</w:t>
      </w:r>
      <w:r w:rsidRPr="008166D7">
        <w:rPr>
          <w:rFonts w:eastAsia="Gadugi"/>
          <w:lang w:bidi="fr-CA"/>
        </w:rPr>
        <w:t>élimination dans le contexte des récents DPPM et a trouvé les réponses quelque peu préoccupantes quant au manque apparent de détails concernant le calendrier et la portée des futurs travaux d</w:t>
      </w:r>
      <w:r w:rsidR="00296C2D">
        <w:rPr>
          <w:rFonts w:eastAsia="Gadugi"/>
          <w:lang w:bidi="fr-CA"/>
        </w:rPr>
        <w:t>’</w:t>
      </w:r>
      <w:r w:rsidRPr="008166D7">
        <w:rPr>
          <w:rFonts w:eastAsia="Gadugi"/>
          <w:lang w:bidi="fr-CA"/>
        </w:rPr>
        <w:t>enlèvement et de récupération.</w:t>
      </w:r>
    </w:p>
    <w:p w14:paraId="7262C94F" w14:textId="334F30E9" w:rsidR="00911CBD" w:rsidRPr="008166D7" w:rsidRDefault="00813998" w:rsidP="00911CBD">
      <w:pPr>
        <w:pStyle w:val="Corpsdetexte"/>
        <w:ind w:hanging="530"/>
      </w:pPr>
      <w:r w:rsidRPr="008166D7">
        <w:rPr>
          <w:rFonts w:eastAsia="Gadugi"/>
          <w:lang w:bidi="fr-CA"/>
        </w:rPr>
        <w:t>Le CETES recommande que la SÉQ fournisse davantage d</w:t>
      </w:r>
      <w:r w:rsidR="00296C2D">
        <w:rPr>
          <w:rFonts w:eastAsia="Gadugi"/>
          <w:lang w:bidi="fr-CA"/>
        </w:rPr>
        <w:t>’</w:t>
      </w:r>
      <w:r w:rsidRPr="008166D7">
        <w:rPr>
          <w:rFonts w:eastAsia="Gadugi"/>
          <w:lang w:bidi="fr-CA"/>
        </w:rPr>
        <w:t>informations dans les futures RMTG, en particulier en ce qui concerne les grands projets d</w:t>
      </w:r>
      <w:r w:rsidR="00296C2D">
        <w:rPr>
          <w:rFonts w:eastAsia="Gadugi"/>
          <w:lang w:bidi="fr-CA"/>
        </w:rPr>
        <w:t>’</w:t>
      </w:r>
      <w:r w:rsidRPr="008166D7">
        <w:rPr>
          <w:rFonts w:eastAsia="Gadugi"/>
          <w:lang w:bidi="fr-CA"/>
        </w:rPr>
        <w:t>immobilisations qui entra</w:t>
      </w:r>
      <w:r w:rsidR="00296C2D">
        <w:rPr>
          <w:rFonts w:eastAsia="Gadugi"/>
          <w:lang w:bidi="fr-CA"/>
        </w:rPr>
        <w:t>i</w:t>
      </w:r>
      <w:r w:rsidRPr="008166D7">
        <w:rPr>
          <w:rFonts w:eastAsia="Gadugi"/>
          <w:lang w:bidi="fr-CA"/>
        </w:rPr>
        <w:t>neront la mise hors service, le retrait et la remise en état d</w:t>
      </w:r>
      <w:r w:rsidR="00296C2D">
        <w:rPr>
          <w:rFonts w:eastAsia="Gadugi"/>
          <w:lang w:bidi="fr-CA"/>
        </w:rPr>
        <w:t>’</w:t>
      </w:r>
      <w:r w:rsidRPr="008166D7">
        <w:rPr>
          <w:rFonts w:eastAsia="Gadugi"/>
          <w:lang w:bidi="fr-CA"/>
        </w:rPr>
        <w:t>anciens sites et actifs.</w:t>
      </w:r>
    </w:p>
    <w:p w14:paraId="7262C950"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AMORTISSEMENTS CUMULÉS</w:t>
      </w:r>
    </w:p>
    <w:p w14:paraId="7262C952" w14:textId="1FA1C814" w:rsidR="00911CBD" w:rsidRPr="008166D7" w:rsidRDefault="00813998" w:rsidP="00911CBD">
      <w:pPr>
        <w:pStyle w:val="Corpsdetexte"/>
        <w:ind w:hanging="530"/>
      </w:pPr>
      <w:r w:rsidRPr="008166D7">
        <w:rPr>
          <w:rFonts w:eastAsia="Gadugi"/>
          <w:lang w:bidi="fr-CA"/>
        </w:rPr>
        <w:t>Le CETES a examiné les explications fournies par la SÉQ dans la demande et en réponse aux DI, ainsi que les annexes 6.3 à 6.9 de la demande. Le CETES estime que les prévisions d</w:t>
      </w:r>
      <w:r w:rsidR="00296C2D">
        <w:rPr>
          <w:rFonts w:eastAsia="Gadugi"/>
          <w:lang w:bidi="fr-CA"/>
        </w:rPr>
        <w:t>’</w:t>
      </w:r>
      <w:r w:rsidRPr="008166D7">
        <w:rPr>
          <w:rFonts w:eastAsia="Gadugi"/>
          <w:lang w:bidi="fr-CA"/>
        </w:rPr>
        <w:t>amortissement cumulé pour 2022-2023 ont été déterminées en utilisant les méthodes et les taux précédemment approuvés. Le CETES estime que les prévisions pour 2022-2023 sont raisonnables.</w:t>
      </w:r>
    </w:p>
    <w:p w14:paraId="7262C953"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FONDS DE ROULEMENT</w:t>
      </w:r>
    </w:p>
    <w:p w14:paraId="7262C955" w14:textId="1ECF6176" w:rsidR="009365C6" w:rsidRPr="008166D7" w:rsidRDefault="00813998" w:rsidP="00C67278">
      <w:pPr>
        <w:pStyle w:val="Corpsdetexte"/>
        <w:ind w:hanging="530"/>
      </w:pPr>
      <w:r w:rsidRPr="008166D7">
        <w:rPr>
          <w:rFonts w:eastAsia="Gadugi"/>
          <w:lang w:bidi="fr-CA"/>
        </w:rPr>
        <w:t>La SÉQ a fourni les annexes 6.4 à 6.9 à l</w:t>
      </w:r>
      <w:r w:rsidR="00296C2D">
        <w:rPr>
          <w:rFonts w:eastAsia="Gadugi"/>
          <w:lang w:bidi="fr-CA"/>
        </w:rPr>
        <w:t>’</w:t>
      </w:r>
      <w:r w:rsidRPr="008166D7">
        <w:rPr>
          <w:rFonts w:eastAsia="Gadugi"/>
          <w:lang w:bidi="fr-CA"/>
        </w:rPr>
        <w:t>appui des prévisions du fonds de roulement à inclure dans la base tarifaire en milieu d’exercice. La SÉQ a indiqué que la détermination/le calcul du fonds de roulement était basé sur les résultats d</w:t>
      </w:r>
      <w:r w:rsidR="00296C2D">
        <w:rPr>
          <w:rFonts w:eastAsia="Gadugi"/>
          <w:lang w:bidi="fr-CA"/>
        </w:rPr>
        <w:t>’</w:t>
      </w:r>
      <w:r w:rsidRPr="008166D7">
        <w:rPr>
          <w:rFonts w:eastAsia="Gadugi"/>
          <w:lang w:bidi="fr-CA"/>
        </w:rPr>
        <w:t>une étude des délais de paiement fournie dans la RMTG de 2010-2011. La SÉQ a fourni l</w:t>
      </w:r>
      <w:r w:rsidR="00296C2D">
        <w:rPr>
          <w:rFonts w:eastAsia="Gadugi"/>
          <w:lang w:bidi="fr-CA"/>
        </w:rPr>
        <w:t>’</w:t>
      </w:r>
      <w:r w:rsidRPr="008166D7">
        <w:rPr>
          <w:rFonts w:eastAsia="Gadugi"/>
          <w:lang w:bidi="fr-CA"/>
        </w:rPr>
        <w:t>étude des délais de paiement en réponse à la DI URRC-QEC-1-21. Les prévisions du besoin en fonds de roulement en milieu d’exercice étaient de 33,147 millions de dollars en 2022-2023, soit une augmentation de 5 821 dollars par rapport à la RMTG de 2018-</w:t>
      </w:r>
      <w:r w:rsidRPr="008166D7">
        <w:rPr>
          <w:rFonts w:eastAsia="Gadugi"/>
          <w:lang w:bidi="fr-CA"/>
        </w:rPr>
        <w:lastRenderedPageBreak/>
        <w:t>2019. La majeure partie de l</w:t>
      </w:r>
      <w:r w:rsidR="00296C2D">
        <w:rPr>
          <w:rFonts w:eastAsia="Gadugi"/>
          <w:lang w:bidi="fr-CA"/>
        </w:rPr>
        <w:t>’</w:t>
      </w:r>
      <w:r w:rsidRPr="008166D7">
        <w:rPr>
          <w:rFonts w:eastAsia="Gadugi"/>
          <w:lang w:bidi="fr-CA"/>
        </w:rPr>
        <w:t>augmentation est due à l</w:t>
      </w:r>
      <w:r w:rsidR="00296C2D">
        <w:rPr>
          <w:rFonts w:eastAsia="Gadugi"/>
          <w:lang w:bidi="fr-CA"/>
        </w:rPr>
        <w:t>’</w:t>
      </w:r>
      <w:r w:rsidRPr="008166D7">
        <w:rPr>
          <w:rFonts w:eastAsia="Gadugi"/>
          <w:lang w:bidi="fr-CA"/>
        </w:rPr>
        <w:t>accroissement des stocks de fournitures.</w:t>
      </w:r>
    </w:p>
    <w:p w14:paraId="7262C956" w14:textId="030471E7" w:rsidR="002766F4" w:rsidRPr="008166D7" w:rsidRDefault="00813998" w:rsidP="009365C6">
      <w:pPr>
        <w:pStyle w:val="Corpsdetexte"/>
        <w:ind w:hanging="530"/>
      </w:pPr>
      <w:r w:rsidRPr="008166D7">
        <w:rPr>
          <w:rFonts w:eastAsia="Gadugi"/>
          <w:lang w:bidi="fr-CA"/>
        </w:rPr>
        <w:t>Le CETES a également demandé des informations complémentaires dans la DI URRC-QEC-1-21 concernant d</w:t>
      </w:r>
      <w:r w:rsidR="00296C2D">
        <w:rPr>
          <w:rFonts w:eastAsia="Gadugi"/>
          <w:lang w:bidi="fr-CA"/>
        </w:rPr>
        <w:t>’</w:t>
      </w:r>
      <w:r w:rsidRPr="008166D7">
        <w:rPr>
          <w:rFonts w:eastAsia="Gadugi"/>
          <w:lang w:bidi="fr-CA"/>
        </w:rPr>
        <w:t>autres méthodes de prévision, et les montants réels du fonds de roulement basés sur les finances de la SÉQ et les besoins de financement à court terme. La SÉQ a indiqué qu</w:t>
      </w:r>
      <w:r w:rsidR="00296C2D">
        <w:rPr>
          <w:rFonts w:eastAsia="Gadugi"/>
          <w:lang w:bidi="fr-CA"/>
        </w:rPr>
        <w:t>’</w:t>
      </w:r>
      <w:r w:rsidRPr="008166D7">
        <w:rPr>
          <w:rFonts w:eastAsia="Gadugi"/>
          <w:lang w:bidi="fr-CA"/>
        </w:rPr>
        <w:t>elle n</w:t>
      </w:r>
      <w:r w:rsidR="00296C2D">
        <w:rPr>
          <w:rFonts w:eastAsia="Gadugi"/>
          <w:lang w:bidi="fr-CA"/>
        </w:rPr>
        <w:t>’</w:t>
      </w:r>
      <w:r w:rsidRPr="008166D7">
        <w:rPr>
          <w:rFonts w:eastAsia="Gadugi"/>
          <w:lang w:bidi="fr-CA"/>
        </w:rPr>
        <w:t>a pas envisagé d</w:t>
      </w:r>
      <w:r w:rsidR="00296C2D">
        <w:rPr>
          <w:rFonts w:eastAsia="Gadugi"/>
          <w:lang w:bidi="fr-CA"/>
        </w:rPr>
        <w:t>’</w:t>
      </w:r>
      <w:r w:rsidRPr="008166D7">
        <w:rPr>
          <w:rFonts w:eastAsia="Gadugi"/>
          <w:lang w:bidi="fr-CA"/>
        </w:rPr>
        <w:t>utiliser d</w:t>
      </w:r>
      <w:r w:rsidR="00296C2D">
        <w:rPr>
          <w:rFonts w:eastAsia="Gadugi"/>
          <w:lang w:bidi="fr-CA"/>
        </w:rPr>
        <w:t>’</w:t>
      </w:r>
      <w:r w:rsidRPr="008166D7">
        <w:rPr>
          <w:rFonts w:eastAsia="Gadugi"/>
          <w:lang w:bidi="fr-CA"/>
        </w:rPr>
        <w:t>autres méthodes de prévision parce qu</w:t>
      </w:r>
      <w:r w:rsidR="00296C2D">
        <w:rPr>
          <w:rFonts w:eastAsia="Gadugi"/>
          <w:lang w:bidi="fr-CA"/>
        </w:rPr>
        <w:t>’</w:t>
      </w:r>
      <w:r w:rsidRPr="008166D7">
        <w:rPr>
          <w:rFonts w:eastAsia="Gadugi"/>
          <w:lang w:bidi="fr-CA"/>
        </w:rPr>
        <w:t>elle s</w:t>
      </w:r>
      <w:r w:rsidR="00296C2D">
        <w:rPr>
          <w:rFonts w:eastAsia="Gadugi"/>
          <w:lang w:bidi="fr-CA"/>
        </w:rPr>
        <w:t>’</w:t>
      </w:r>
      <w:r w:rsidRPr="008166D7">
        <w:rPr>
          <w:rFonts w:eastAsia="Gadugi"/>
          <w:lang w:bidi="fr-CA"/>
        </w:rPr>
        <w:t xml:space="preserve">est appuyée sur une méthode approuvée précédemment. La SÉQ a fourni certaines données financières, y compris le financement à court terme, dans la réponse à la DI URRC-QEC-1-21. </w:t>
      </w:r>
    </w:p>
    <w:p w14:paraId="7262C957" w14:textId="05AC441D" w:rsidR="00245708" w:rsidRPr="008166D7" w:rsidRDefault="00813998" w:rsidP="009365C6">
      <w:pPr>
        <w:pStyle w:val="Corpsdetexte"/>
        <w:ind w:hanging="530"/>
      </w:pPr>
      <w:r w:rsidRPr="008166D7">
        <w:rPr>
          <w:rFonts w:eastAsia="Gadugi"/>
          <w:lang w:bidi="fr-CA"/>
        </w:rPr>
        <w:t>Le CETES comprend qu</w:t>
      </w:r>
      <w:r w:rsidR="00296C2D">
        <w:rPr>
          <w:rFonts w:eastAsia="Gadugi"/>
          <w:lang w:bidi="fr-CA"/>
        </w:rPr>
        <w:t>’</w:t>
      </w:r>
      <w:r w:rsidRPr="008166D7">
        <w:rPr>
          <w:rFonts w:eastAsia="Gadugi"/>
          <w:lang w:bidi="fr-CA"/>
        </w:rPr>
        <w:t>il peut y avoir quelques difficultés à valider les résultats de l</w:t>
      </w:r>
      <w:r w:rsidR="00296C2D">
        <w:rPr>
          <w:rFonts w:eastAsia="Gadugi"/>
          <w:lang w:bidi="fr-CA"/>
        </w:rPr>
        <w:t>’</w:t>
      </w:r>
      <w:r w:rsidRPr="008166D7">
        <w:rPr>
          <w:rFonts w:eastAsia="Gadugi"/>
          <w:lang w:bidi="fr-CA"/>
        </w:rPr>
        <w:t>étude des délais de paiement, par rapport aux besoins réels de financement à court terme quotidiens/hebdomadaires. Néanmoins, il serait utile de savoir si le montant du fonds de roulement déterminé conformément à une étude des délais de paiement réalisée en 2010-2011 demeure raisonnable.</w:t>
      </w:r>
    </w:p>
    <w:p w14:paraId="7262C958" w14:textId="57E91456" w:rsidR="00911CBD" w:rsidRPr="008166D7" w:rsidRDefault="00813998" w:rsidP="00245708">
      <w:pPr>
        <w:pStyle w:val="Corpsdetexte"/>
        <w:ind w:hanging="530"/>
      </w:pPr>
      <w:r w:rsidRPr="008166D7">
        <w:rPr>
          <w:rFonts w:eastAsia="Gadugi"/>
          <w:lang w:bidi="fr-CA"/>
        </w:rPr>
        <w:t>Le CETES estime que le besoin en fonds de roulement pour 2022-2023 est raisonnable; cependant, le CETES recommande que la SÉQ fournisse une validation ou un examen de l</w:t>
      </w:r>
      <w:r w:rsidR="00296C2D">
        <w:rPr>
          <w:rFonts w:eastAsia="Gadugi"/>
          <w:lang w:bidi="fr-CA"/>
        </w:rPr>
        <w:t>’</w:t>
      </w:r>
      <w:r w:rsidRPr="008166D7">
        <w:rPr>
          <w:rFonts w:eastAsia="Gadugi"/>
          <w:lang w:bidi="fr-CA"/>
        </w:rPr>
        <w:t xml:space="preserve">étude des délais de paiement et de la détermination du fonds de roulement dans sa prochaine RMTG. </w:t>
      </w:r>
    </w:p>
    <w:p w14:paraId="7262C959" w14:textId="73C9B068" w:rsidR="00911CBD" w:rsidRPr="008166D7" w:rsidRDefault="00813998" w:rsidP="00911CBD">
      <w:pPr>
        <w:pStyle w:val="Heading2URRC"/>
        <w:rPr>
          <w:rFonts w:ascii="Times New Roman" w:hAnsi="Times New Roman"/>
        </w:rPr>
      </w:pPr>
      <w:r w:rsidRPr="008166D7">
        <w:rPr>
          <w:rFonts w:ascii="Times New Roman" w:eastAsia="Gadugi" w:hAnsi="Times New Roman"/>
          <w:lang w:bidi="fr-CA"/>
        </w:rPr>
        <w:t>CO</w:t>
      </w:r>
      <w:r w:rsidR="00296C2D">
        <w:rPr>
          <w:rFonts w:ascii="Times New Roman" w:eastAsia="Gadugi" w:hAnsi="Times New Roman"/>
          <w:lang w:bidi="fr-CA"/>
        </w:rPr>
        <w:t>U</w:t>
      </w:r>
      <w:r w:rsidRPr="008166D7">
        <w:rPr>
          <w:rFonts w:ascii="Times New Roman" w:eastAsia="Gadugi" w:hAnsi="Times New Roman"/>
          <w:lang w:bidi="fr-CA"/>
        </w:rPr>
        <w:t>T DU SERVICE</w:t>
      </w:r>
    </w:p>
    <w:p w14:paraId="7262C95B" w14:textId="21CE1CE7" w:rsidR="00911CBD" w:rsidRPr="008166D7" w:rsidRDefault="00813998" w:rsidP="00911CBD">
      <w:pPr>
        <w:pStyle w:val="Corpsdetexte"/>
        <w:ind w:hanging="530"/>
      </w:pPr>
      <w:r w:rsidRPr="008166D7">
        <w:rPr>
          <w:rFonts w:eastAsia="Gadugi"/>
          <w:lang w:bidi="fr-CA"/>
        </w:rPr>
        <w:t>La SÉQ a fourni son étude sur le co</w:t>
      </w:r>
      <w:r w:rsidR="008166D7">
        <w:rPr>
          <w:rFonts w:eastAsia="Gadugi"/>
          <w:lang w:bidi="fr-CA"/>
        </w:rPr>
        <w:t>u</w:t>
      </w:r>
      <w:r w:rsidRPr="008166D7">
        <w:rPr>
          <w:rFonts w:eastAsia="Gadugi"/>
          <w:lang w:bidi="fr-CA"/>
        </w:rPr>
        <w:t>t du service et ses résultats aux pages 7-1 à 7-4 de la demande, et dans les annexes C et D de la demande. La SÉQ a indiqué qu</w:t>
      </w:r>
      <w:r w:rsidR="00296C2D">
        <w:rPr>
          <w:rFonts w:eastAsia="Gadugi"/>
          <w:lang w:bidi="fr-CA"/>
        </w:rPr>
        <w:t>’</w:t>
      </w:r>
      <w:r w:rsidRPr="008166D7">
        <w:rPr>
          <w:rFonts w:eastAsia="Gadugi"/>
          <w:lang w:bidi="fr-CA"/>
        </w:rPr>
        <w:t>une étude sur le co</w:t>
      </w:r>
      <w:r w:rsidR="008166D7">
        <w:rPr>
          <w:rFonts w:eastAsia="Gadugi"/>
          <w:lang w:bidi="fr-CA"/>
        </w:rPr>
        <w:t>u</w:t>
      </w:r>
      <w:r w:rsidRPr="008166D7">
        <w:rPr>
          <w:rFonts w:eastAsia="Gadugi"/>
          <w:lang w:bidi="fr-CA"/>
        </w:rPr>
        <w:t>t du service est couramment utilisée comme outil d</w:t>
      </w:r>
      <w:r w:rsidR="00296C2D">
        <w:rPr>
          <w:rFonts w:eastAsia="Gadugi"/>
          <w:lang w:bidi="fr-CA"/>
        </w:rPr>
        <w:t>’</w:t>
      </w:r>
      <w:r w:rsidRPr="008166D7">
        <w:rPr>
          <w:rFonts w:eastAsia="Gadugi"/>
          <w:lang w:bidi="fr-CA"/>
        </w:rPr>
        <w:t>analyse dans le processus d’établissement des tarifs. Elle peut fournir des informations utiles telles que les co</w:t>
      </w:r>
      <w:r w:rsidR="00AD7DDC">
        <w:rPr>
          <w:rFonts w:eastAsia="Gadugi"/>
          <w:lang w:bidi="fr-CA"/>
        </w:rPr>
        <w:t>u</w:t>
      </w:r>
      <w:r w:rsidRPr="008166D7">
        <w:rPr>
          <w:rFonts w:eastAsia="Gadugi"/>
          <w:lang w:bidi="fr-CA"/>
        </w:rPr>
        <w:t>ts unitaires pour servir différents types de clients, et les ratios de la couverture du co</w:t>
      </w:r>
      <w:r w:rsidR="008166D7">
        <w:rPr>
          <w:rFonts w:eastAsia="Gadugi"/>
          <w:lang w:bidi="fr-CA"/>
        </w:rPr>
        <w:t>u</w:t>
      </w:r>
      <w:r w:rsidRPr="008166D7">
        <w:rPr>
          <w:rFonts w:eastAsia="Gadugi"/>
          <w:lang w:bidi="fr-CA"/>
        </w:rPr>
        <w:t>t des recettes. Ces renseignements permettent de savoir dans quelle mesure les recettes, conformément à la conception tarifaire, recouvrent les co</w:t>
      </w:r>
      <w:r w:rsidR="00AD7DDC">
        <w:rPr>
          <w:rFonts w:eastAsia="Gadugi"/>
          <w:lang w:bidi="fr-CA"/>
        </w:rPr>
        <w:t>u</w:t>
      </w:r>
      <w:r w:rsidRPr="008166D7">
        <w:rPr>
          <w:rFonts w:eastAsia="Gadugi"/>
          <w:lang w:bidi="fr-CA"/>
        </w:rPr>
        <w:t>ts de la desserte des différentes catégories de clients.</w:t>
      </w:r>
    </w:p>
    <w:p w14:paraId="7262C95C" w14:textId="1D08A3E3" w:rsidR="00911CBD" w:rsidRPr="008166D7" w:rsidRDefault="00813998" w:rsidP="00911CBD">
      <w:pPr>
        <w:pStyle w:val="Corpsdetexte"/>
        <w:ind w:hanging="530"/>
      </w:pPr>
      <w:r w:rsidRPr="008166D7">
        <w:rPr>
          <w:rFonts w:eastAsia="Gadugi"/>
          <w:lang w:bidi="fr-CA"/>
        </w:rPr>
        <w:lastRenderedPageBreak/>
        <w:t>La SÉQ indique qu</w:t>
      </w:r>
      <w:r w:rsidR="00296C2D">
        <w:rPr>
          <w:rFonts w:eastAsia="Gadugi"/>
          <w:lang w:bidi="fr-CA"/>
        </w:rPr>
        <w:t>’</w:t>
      </w:r>
      <w:r w:rsidRPr="008166D7">
        <w:rPr>
          <w:rFonts w:eastAsia="Gadugi"/>
          <w:lang w:bidi="fr-CA"/>
        </w:rPr>
        <w:t>une étude sur le co</w:t>
      </w:r>
      <w:r w:rsidR="008166D7">
        <w:rPr>
          <w:rFonts w:eastAsia="Gadugi"/>
          <w:lang w:bidi="fr-CA"/>
        </w:rPr>
        <w:t>u</w:t>
      </w:r>
      <w:r w:rsidRPr="008166D7">
        <w:rPr>
          <w:rFonts w:eastAsia="Gadugi"/>
          <w:lang w:bidi="fr-CA"/>
        </w:rPr>
        <w:t>t du service nécessite une estimation et un certain degré de jugement professionnel, et que les résultats ne peuvent donc pas être considérés comme exacts.</w:t>
      </w:r>
    </w:p>
    <w:p w14:paraId="7262C95D" w14:textId="38352E64" w:rsidR="00911CBD" w:rsidRPr="008166D7" w:rsidRDefault="00813998" w:rsidP="00911CBD">
      <w:pPr>
        <w:pStyle w:val="Corpsdetexte"/>
        <w:ind w:hanging="530"/>
      </w:pPr>
      <w:r w:rsidRPr="008166D7">
        <w:rPr>
          <w:rFonts w:eastAsia="Gadugi"/>
          <w:lang w:bidi="fr-CA"/>
        </w:rPr>
        <w:t>Le CETES a examiné les méthodes d</w:t>
      </w:r>
      <w:r w:rsidR="00296C2D">
        <w:rPr>
          <w:rFonts w:eastAsia="Gadugi"/>
          <w:lang w:bidi="fr-CA"/>
        </w:rPr>
        <w:t>’</w:t>
      </w:r>
      <w:r w:rsidRPr="008166D7">
        <w:rPr>
          <w:rFonts w:eastAsia="Gadugi"/>
          <w:lang w:bidi="fr-CA"/>
        </w:rPr>
        <w:t>étude et les résultats et les considère comme raisonnables, sous réserve des recommandations ci-dessous.</w:t>
      </w:r>
    </w:p>
    <w:p w14:paraId="7262C95E"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MÉTHODES D’ÉTUDE</w:t>
      </w:r>
    </w:p>
    <w:p w14:paraId="7262C960" w14:textId="7FC0903D" w:rsidR="004279F5" w:rsidRPr="008166D7" w:rsidRDefault="00813998" w:rsidP="00911CBD">
      <w:pPr>
        <w:pStyle w:val="Corpsdetexte"/>
        <w:ind w:hanging="530"/>
      </w:pPr>
      <w:r w:rsidRPr="008166D7">
        <w:rPr>
          <w:rFonts w:eastAsia="Gadugi"/>
          <w:lang w:bidi="fr-CA"/>
        </w:rPr>
        <w:t>La SÉQ a fourni les détails, les hypothèses et les méthodes utilisés pour réaliser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de 2022-2023. La SÉQ a indiqué que le dernier examen de la méthode utilisée pour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avait été réalisé dans le cadre de la RMTG de 2010-2011, et que la RMTG de 2018-2019 avait été préparée en appliquant la même méthode.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de 2022-2023 a également été réalisée conformément à ces examens précédents, en se fondant sur l</w:t>
      </w:r>
      <w:r w:rsidR="00296C2D">
        <w:rPr>
          <w:rFonts w:eastAsia="Gadugi"/>
          <w:lang w:bidi="fr-CA"/>
        </w:rPr>
        <w:t>’</w:t>
      </w:r>
      <w:r w:rsidRPr="008166D7">
        <w:rPr>
          <w:rFonts w:eastAsia="Gadugi"/>
          <w:lang w:bidi="fr-CA"/>
        </w:rPr>
        <w:t>approche du co</w:t>
      </w:r>
      <w:r w:rsidR="008166D7">
        <w:rPr>
          <w:rFonts w:eastAsia="Gadugi"/>
          <w:lang w:bidi="fr-CA"/>
        </w:rPr>
        <w:t>u</w:t>
      </w:r>
      <w:r w:rsidRPr="008166D7">
        <w:rPr>
          <w:rFonts w:eastAsia="Gadugi"/>
          <w:lang w:bidi="fr-CA"/>
        </w:rPr>
        <w:t>t du service à l</w:t>
      </w:r>
      <w:r w:rsidR="00296C2D">
        <w:rPr>
          <w:rFonts w:eastAsia="Gadugi"/>
          <w:lang w:bidi="fr-CA"/>
        </w:rPr>
        <w:t>’</w:t>
      </w:r>
      <w:r w:rsidRPr="008166D7">
        <w:rPr>
          <w:rFonts w:eastAsia="Gadugi"/>
          <w:lang w:bidi="fr-CA"/>
        </w:rPr>
        <w:t>échelle du Nunavut.</w:t>
      </w:r>
    </w:p>
    <w:p w14:paraId="7262C961" w14:textId="4128580D" w:rsidR="00911CBD" w:rsidRPr="008166D7" w:rsidRDefault="00813998" w:rsidP="00911CBD">
      <w:pPr>
        <w:pStyle w:val="Corpsdetexte"/>
        <w:ind w:hanging="530"/>
      </w:pPr>
      <w:r w:rsidRPr="008166D7">
        <w:rPr>
          <w:rFonts w:eastAsia="Gadugi"/>
          <w:lang w:bidi="fr-CA"/>
        </w:rPr>
        <w:t>Le CETES indique que, sur la base d</w:t>
      </w:r>
      <w:r w:rsidR="00296C2D">
        <w:rPr>
          <w:rFonts w:eastAsia="Gadugi"/>
          <w:lang w:bidi="fr-CA"/>
        </w:rPr>
        <w:t>’</w:t>
      </w:r>
      <w:r w:rsidRPr="008166D7">
        <w:rPr>
          <w:rFonts w:eastAsia="Gadugi"/>
          <w:lang w:bidi="fr-CA"/>
        </w:rPr>
        <w:t>un examen de l</w:t>
      </w:r>
      <w:r w:rsidR="00296C2D">
        <w:rPr>
          <w:rFonts w:eastAsia="Gadugi"/>
          <w:lang w:bidi="fr-CA"/>
        </w:rPr>
        <w:t>’</w:t>
      </w:r>
      <w:r w:rsidRPr="008166D7">
        <w:rPr>
          <w:rFonts w:eastAsia="Gadugi"/>
          <w:lang w:bidi="fr-CA"/>
        </w:rPr>
        <w:t>annexe C, la SÉQ a suivi la méthode utilisée pour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précédemment approuvée.</w:t>
      </w:r>
    </w:p>
    <w:p w14:paraId="7262C962" w14:textId="77777777" w:rsidR="00911CBD" w:rsidRPr="008166D7" w:rsidRDefault="00813998" w:rsidP="00911CBD">
      <w:pPr>
        <w:pStyle w:val="Heading3URRC"/>
        <w:rPr>
          <w:rFonts w:ascii="Times New Roman" w:hAnsi="Times New Roman"/>
        </w:rPr>
      </w:pPr>
      <w:r w:rsidRPr="008166D7">
        <w:rPr>
          <w:rFonts w:ascii="Times New Roman" w:eastAsia="Gadugi" w:hAnsi="Times New Roman"/>
          <w:lang w:bidi="fr-CA"/>
        </w:rPr>
        <w:t>RÉSULTATS</w:t>
      </w:r>
    </w:p>
    <w:p w14:paraId="7262C964" w14:textId="7DDE76DF" w:rsidR="00085DF9" w:rsidRPr="008166D7" w:rsidRDefault="00813998" w:rsidP="00911CBD">
      <w:pPr>
        <w:pStyle w:val="Corpsdetexte"/>
        <w:ind w:hanging="530"/>
      </w:pPr>
      <w:r w:rsidRPr="008166D7">
        <w:rPr>
          <w:rFonts w:eastAsia="Gadugi"/>
          <w:lang w:bidi="fr-CA"/>
        </w:rPr>
        <w:t>La SÉQ a fourni les résultats de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dans l</w:t>
      </w:r>
      <w:r w:rsidR="00296C2D">
        <w:rPr>
          <w:rFonts w:eastAsia="Gadugi"/>
          <w:lang w:bidi="fr-CA"/>
        </w:rPr>
        <w:t>’</w:t>
      </w:r>
      <w:r w:rsidRPr="008166D7">
        <w:rPr>
          <w:rFonts w:eastAsia="Gadugi"/>
          <w:lang w:bidi="fr-CA"/>
        </w:rPr>
        <w:t xml:space="preserve">annexe D de la demande, et tels que résumés dans les tableaux 7.1 et 7.2 de la demande. </w:t>
      </w:r>
    </w:p>
    <w:p w14:paraId="7262C965" w14:textId="77636E55" w:rsidR="00085DF9" w:rsidRPr="008166D7" w:rsidRDefault="00813998" w:rsidP="00911CBD">
      <w:pPr>
        <w:pStyle w:val="Corpsdetexte"/>
        <w:ind w:hanging="530"/>
      </w:pPr>
      <w:r w:rsidRPr="008166D7">
        <w:rPr>
          <w:rFonts w:eastAsia="Gadugi"/>
          <w:lang w:bidi="fr-CA"/>
        </w:rPr>
        <w:t>La SÉQ a expliqué que les résultats de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indiquent que, si la hausse tarifaire est appliquée de façon uniforme, le ratio de la couverture du co</w:t>
      </w:r>
      <w:r w:rsidR="008166D7">
        <w:rPr>
          <w:rFonts w:eastAsia="Gadugi"/>
          <w:lang w:bidi="fr-CA"/>
        </w:rPr>
        <w:t>u</w:t>
      </w:r>
      <w:r w:rsidRPr="008166D7">
        <w:rPr>
          <w:rFonts w:eastAsia="Gadugi"/>
          <w:lang w:bidi="fr-CA"/>
        </w:rPr>
        <w:t>t des recettes des classes tarifaires résidentielle et de lampadaires serait légèrement inférieur à 100 %, tandis que le ratio de la couverture du co</w:t>
      </w:r>
      <w:r w:rsidR="008166D7">
        <w:rPr>
          <w:rFonts w:eastAsia="Gadugi"/>
          <w:lang w:bidi="fr-CA"/>
        </w:rPr>
        <w:t>u</w:t>
      </w:r>
      <w:r w:rsidRPr="008166D7">
        <w:rPr>
          <w:rFonts w:eastAsia="Gadugi"/>
          <w:lang w:bidi="fr-CA"/>
        </w:rPr>
        <w:t>t des recettes de la classe de tarification commerciale serait légèrement supérieur à 100 %. La SÉQ a indiqué que toutes les classes tarifaires auraient un ratio de la couverture du co</w:t>
      </w:r>
      <w:r w:rsidR="008166D7">
        <w:rPr>
          <w:rFonts w:eastAsia="Gadugi"/>
          <w:lang w:bidi="fr-CA"/>
        </w:rPr>
        <w:t>u</w:t>
      </w:r>
      <w:r w:rsidRPr="008166D7">
        <w:rPr>
          <w:rFonts w:eastAsia="Gadugi"/>
          <w:lang w:bidi="fr-CA"/>
        </w:rPr>
        <w:t xml:space="preserve">t des recettes dans la tranche de 95 à 105 % du caractère raisonnable. </w:t>
      </w:r>
    </w:p>
    <w:p w14:paraId="7262C966" w14:textId="7E4EFD13" w:rsidR="00A86944" w:rsidRPr="008166D7" w:rsidRDefault="00813998" w:rsidP="00911CBD">
      <w:pPr>
        <w:pStyle w:val="Corpsdetexte"/>
        <w:ind w:hanging="530"/>
      </w:pPr>
      <w:r w:rsidRPr="008166D7">
        <w:rPr>
          <w:rFonts w:eastAsia="Gadugi"/>
          <w:lang w:bidi="fr-CA"/>
        </w:rPr>
        <w:t>La SÉQ a indiqué que les résultats de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 xml:space="preserve">t du service (tels que reflétés dans le tableau 7.1 de la demande) indiquent que la prime de puissance et les tarifs des </w:t>
      </w:r>
      <w:r w:rsidRPr="008166D7">
        <w:rPr>
          <w:rFonts w:eastAsia="Gadugi"/>
          <w:lang w:bidi="fr-CA"/>
        </w:rPr>
        <w:lastRenderedPageBreak/>
        <w:t>clients (8 $/kW pour les clients commerciaux et 18 $/mois pour les clients résidentiels) sont faibles par rapport aux co</w:t>
      </w:r>
      <w:r w:rsidR="00AD7DDC">
        <w:rPr>
          <w:rFonts w:eastAsia="Gadugi"/>
          <w:lang w:bidi="fr-CA"/>
        </w:rPr>
        <w:t>u</w:t>
      </w:r>
      <w:r w:rsidRPr="008166D7">
        <w:rPr>
          <w:rFonts w:eastAsia="Gadugi"/>
          <w:lang w:bidi="fr-CA"/>
        </w:rPr>
        <w:t>ts unitaires moyens. La SÉQ a également indiqué que le maintien de la prime de puissance et des tarifs des clients existants entra</w:t>
      </w:r>
      <w:r w:rsidR="00296C2D">
        <w:rPr>
          <w:rFonts w:eastAsia="Gadugi"/>
          <w:lang w:bidi="fr-CA"/>
        </w:rPr>
        <w:t>i</w:t>
      </w:r>
      <w:r w:rsidRPr="008166D7">
        <w:rPr>
          <w:rFonts w:eastAsia="Gadugi"/>
          <w:lang w:bidi="fr-CA"/>
        </w:rPr>
        <w:t>ne une hausse des tarifs d</w:t>
      </w:r>
      <w:r w:rsidR="00296C2D">
        <w:rPr>
          <w:rFonts w:eastAsia="Gadugi"/>
          <w:lang w:bidi="fr-CA"/>
        </w:rPr>
        <w:t>’</w:t>
      </w:r>
      <w:r w:rsidRPr="008166D7">
        <w:rPr>
          <w:rFonts w:eastAsia="Gadugi"/>
          <w:lang w:bidi="fr-CA"/>
        </w:rPr>
        <w:t>électricité pour toutes les classes tarifaires (comme le montre le tableau 7.2 de la demande). Les tarifs d</w:t>
      </w:r>
      <w:r w:rsidR="00296C2D">
        <w:rPr>
          <w:rFonts w:eastAsia="Gadugi"/>
          <w:lang w:bidi="fr-CA"/>
        </w:rPr>
        <w:t>’</w:t>
      </w:r>
      <w:r w:rsidRPr="008166D7">
        <w:rPr>
          <w:rFonts w:eastAsia="Gadugi"/>
          <w:lang w:bidi="fr-CA"/>
        </w:rPr>
        <w:t>électricité pour les clients résidentiels augmenteront de 5,18 cents/kWh, ceux pour les clients commerciaux de 32,01 cents/kWh et ceux pour les lampadaires de 1,55 cent</w:t>
      </w:r>
      <w:r w:rsidR="00296C2D">
        <w:rPr>
          <w:rFonts w:eastAsia="Gadugi"/>
          <w:lang w:bidi="fr-CA"/>
        </w:rPr>
        <w:t>s</w:t>
      </w:r>
      <w:r w:rsidRPr="008166D7">
        <w:rPr>
          <w:rFonts w:eastAsia="Gadugi"/>
          <w:lang w:bidi="fr-CA"/>
        </w:rPr>
        <w:t xml:space="preserve">/kWh. </w:t>
      </w:r>
    </w:p>
    <w:p w14:paraId="7262C967" w14:textId="26D16E65" w:rsidR="00911CBD" w:rsidRPr="008166D7" w:rsidRDefault="00813998" w:rsidP="00911CBD">
      <w:pPr>
        <w:pStyle w:val="Corpsdetexte"/>
        <w:ind w:hanging="530"/>
      </w:pPr>
      <w:r w:rsidRPr="008166D7">
        <w:rPr>
          <w:rFonts w:eastAsia="Gadugi"/>
          <w:lang w:bidi="fr-CA"/>
        </w:rPr>
        <w:t>Le CETES indique que les ratios de la couverture du co</w:t>
      </w:r>
      <w:r w:rsidR="008166D7">
        <w:rPr>
          <w:rFonts w:eastAsia="Gadugi"/>
          <w:lang w:bidi="fr-CA"/>
        </w:rPr>
        <w:t>u</w:t>
      </w:r>
      <w:r w:rsidRPr="008166D7">
        <w:rPr>
          <w:rFonts w:eastAsia="Gadugi"/>
          <w:lang w:bidi="fr-CA"/>
        </w:rPr>
        <w:t>t des recettes de toutes les classes tarifaires se situeront dans la zone de 95 à 105 % du caractère raisonnable et considère que cela est acceptable. Cependant, le CETES est préoccupé par la disparité entre les co</w:t>
      </w:r>
      <w:r w:rsidR="00AD7DDC">
        <w:rPr>
          <w:rFonts w:eastAsia="Gadugi"/>
          <w:lang w:bidi="fr-CA"/>
        </w:rPr>
        <w:t>u</w:t>
      </w:r>
      <w:r w:rsidRPr="008166D7">
        <w:rPr>
          <w:rFonts w:eastAsia="Gadugi"/>
          <w:lang w:bidi="fr-CA"/>
        </w:rPr>
        <w:t>ts unitaires moyens et les tarifs pour la prime de puissance pour les clients commerciaux et la prime de puissance pour les clients résidentiels.</w:t>
      </w:r>
    </w:p>
    <w:p w14:paraId="7262C968" w14:textId="442E560A" w:rsidR="00911CBD" w:rsidRPr="008166D7" w:rsidRDefault="00813998" w:rsidP="00911CBD">
      <w:pPr>
        <w:pStyle w:val="Corpsdetexte"/>
        <w:ind w:hanging="530"/>
      </w:pPr>
      <w:r w:rsidRPr="008166D7">
        <w:rPr>
          <w:rFonts w:eastAsia="Gadugi"/>
          <w:lang w:bidi="fr-CA"/>
        </w:rPr>
        <w:t>Le CETES a formulé des recommandations détaillées dans la section sur la conception tarifaire; toutefois, le CETES recommande que la SÉQ commence à rapprocher de façon significative la prime de puissance pour les clients commerciaux et celle pour les clients résidentiels des co</w:t>
      </w:r>
      <w:r w:rsidR="00AD7DDC">
        <w:rPr>
          <w:rFonts w:eastAsia="Gadugi"/>
          <w:lang w:bidi="fr-CA"/>
        </w:rPr>
        <w:t>u</w:t>
      </w:r>
      <w:r w:rsidRPr="008166D7">
        <w:rPr>
          <w:rFonts w:eastAsia="Gadugi"/>
          <w:lang w:bidi="fr-CA"/>
        </w:rPr>
        <w:t xml:space="preserve">ts unitaires moyens. </w:t>
      </w:r>
    </w:p>
    <w:p w14:paraId="7262C969" w14:textId="77777777" w:rsidR="00D51FAD" w:rsidRPr="008166D7" w:rsidRDefault="00813998" w:rsidP="00911CBD">
      <w:pPr>
        <w:pStyle w:val="Heading2URRC"/>
        <w:rPr>
          <w:rFonts w:ascii="Times New Roman" w:hAnsi="Times New Roman"/>
        </w:rPr>
      </w:pPr>
      <w:r w:rsidRPr="008166D7">
        <w:rPr>
          <w:rFonts w:ascii="Times New Roman" w:eastAsia="Gadugi" w:hAnsi="Times New Roman"/>
          <w:lang w:bidi="fr-CA"/>
        </w:rPr>
        <w:t>CONCEPTION TARIFAIRE</w:t>
      </w:r>
    </w:p>
    <w:p w14:paraId="7262C96A" w14:textId="77777777" w:rsidR="002E7916" w:rsidRPr="008166D7" w:rsidRDefault="00813998" w:rsidP="001A4F3B">
      <w:pPr>
        <w:pStyle w:val="Corpsdetexte"/>
        <w:ind w:hanging="530"/>
      </w:pPr>
      <w:r w:rsidRPr="008166D7">
        <w:rPr>
          <w:rFonts w:eastAsia="Gadugi"/>
          <w:lang w:bidi="fr-CA"/>
        </w:rPr>
        <w:t xml:space="preserve">La SÉQ a présenté son évaluation de diverses solutions de conception tarifaire et de certaines des lacunes identifiées dans les tarifs existants. </w:t>
      </w:r>
    </w:p>
    <w:p w14:paraId="7262C96B" w14:textId="5CD7D5ED" w:rsidR="00D9139A" w:rsidRPr="008166D7" w:rsidRDefault="00813998" w:rsidP="001A4F3B">
      <w:pPr>
        <w:pStyle w:val="Corpsdetexte"/>
        <w:ind w:hanging="530"/>
      </w:pPr>
      <w:r w:rsidRPr="008166D7">
        <w:rPr>
          <w:rFonts w:eastAsia="Gadugi"/>
          <w:lang w:bidi="fr-CA"/>
        </w:rPr>
        <w:t>La SÉQ a indiqué que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a été menée à l</w:t>
      </w:r>
      <w:r w:rsidR="00296C2D">
        <w:rPr>
          <w:rFonts w:eastAsia="Gadugi"/>
          <w:lang w:bidi="fr-CA"/>
        </w:rPr>
        <w:t>’</w:t>
      </w:r>
      <w:r w:rsidRPr="008166D7">
        <w:rPr>
          <w:rFonts w:eastAsia="Gadugi"/>
          <w:lang w:bidi="fr-CA"/>
        </w:rPr>
        <w:t>échelle du Nunavut et que les tarifs actuels sont propres à chaque collectivité. La SÉQ a également indiqué qu</w:t>
      </w:r>
      <w:r w:rsidR="00296C2D">
        <w:rPr>
          <w:rFonts w:eastAsia="Gadugi"/>
          <w:lang w:bidi="fr-CA"/>
        </w:rPr>
        <w:t>’</w:t>
      </w:r>
      <w:r w:rsidRPr="008166D7">
        <w:rPr>
          <w:rFonts w:eastAsia="Gadugi"/>
          <w:lang w:bidi="fr-CA"/>
        </w:rPr>
        <w:t>au fil du temps, les tarifs propres à chaque collectivité ne reflètent pas exactement les co</w:t>
      </w:r>
      <w:r w:rsidR="00AD7DDC">
        <w:rPr>
          <w:rFonts w:eastAsia="Gadugi"/>
          <w:lang w:bidi="fr-CA"/>
        </w:rPr>
        <w:t>u</w:t>
      </w:r>
      <w:r w:rsidRPr="008166D7">
        <w:rPr>
          <w:rFonts w:eastAsia="Gadugi"/>
          <w:lang w:bidi="fr-CA"/>
        </w:rPr>
        <w:t>ts au niveau de la collectivité.</w:t>
      </w:r>
    </w:p>
    <w:p w14:paraId="7262C96C" w14:textId="560521E6" w:rsidR="002E7916" w:rsidRPr="008166D7" w:rsidRDefault="00813998" w:rsidP="001A4F3B">
      <w:pPr>
        <w:pStyle w:val="Corpsdetexte"/>
        <w:ind w:hanging="530"/>
      </w:pPr>
      <w:r w:rsidRPr="008166D7">
        <w:rPr>
          <w:rFonts w:eastAsia="Gadugi"/>
          <w:lang w:bidi="fr-CA"/>
        </w:rPr>
        <w:t>La SÉQ a indiqué que la pratique récente consistant à augmenter les tarifs selon des pourcentages égaux pour toutes les classes tarifaires entra</w:t>
      </w:r>
      <w:r w:rsidR="00296C2D">
        <w:rPr>
          <w:rFonts w:eastAsia="Gadugi"/>
          <w:lang w:bidi="fr-CA"/>
        </w:rPr>
        <w:t>i</w:t>
      </w:r>
      <w:r w:rsidRPr="008166D7">
        <w:rPr>
          <w:rFonts w:eastAsia="Gadugi"/>
          <w:lang w:bidi="fr-CA"/>
        </w:rPr>
        <w:t>ne une hausse tarifaire proportionnellement plus élevée pour les collectivités dont le point de départ est plus élevé. La SÉQ a indiqué que l</w:t>
      </w:r>
      <w:r w:rsidR="00296C2D">
        <w:rPr>
          <w:rFonts w:eastAsia="Gadugi"/>
          <w:lang w:bidi="fr-CA"/>
        </w:rPr>
        <w:t>’</w:t>
      </w:r>
      <w:r w:rsidRPr="008166D7">
        <w:rPr>
          <w:rFonts w:eastAsia="Gadugi"/>
          <w:lang w:bidi="fr-CA"/>
        </w:rPr>
        <w:t>écart entre les collectivités aux co</w:t>
      </w:r>
      <w:r w:rsidR="00AD7DDC">
        <w:rPr>
          <w:rFonts w:eastAsia="Gadugi"/>
          <w:lang w:bidi="fr-CA"/>
        </w:rPr>
        <w:t>u</w:t>
      </w:r>
      <w:r w:rsidRPr="008166D7">
        <w:rPr>
          <w:rFonts w:eastAsia="Gadugi"/>
          <w:lang w:bidi="fr-CA"/>
        </w:rPr>
        <w:t>ts les plus bas et les collectivités aux co</w:t>
      </w:r>
      <w:r w:rsidR="00AD7DDC">
        <w:rPr>
          <w:rFonts w:eastAsia="Gadugi"/>
          <w:lang w:bidi="fr-CA"/>
        </w:rPr>
        <w:t>u</w:t>
      </w:r>
      <w:r w:rsidRPr="008166D7">
        <w:rPr>
          <w:rFonts w:eastAsia="Gadugi"/>
          <w:lang w:bidi="fr-CA"/>
        </w:rPr>
        <w:t xml:space="preserve">ts les plus élevés se creuse chaque fois que la hausse tarifaire est </w:t>
      </w:r>
      <w:r w:rsidRPr="008166D7">
        <w:rPr>
          <w:rFonts w:eastAsia="Gadugi"/>
          <w:lang w:bidi="fr-CA"/>
        </w:rPr>
        <w:lastRenderedPageBreak/>
        <w:t>appliquée sur la base d</w:t>
      </w:r>
      <w:r w:rsidR="00296C2D">
        <w:rPr>
          <w:rFonts w:eastAsia="Gadugi"/>
          <w:lang w:bidi="fr-CA"/>
        </w:rPr>
        <w:t>’</w:t>
      </w:r>
      <w:r w:rsidRPr="008166D7">
        <w:rPr>
          <w:rFonts w:eastAsia="Gadugi"/>
          <w:lang w:bidi="fr-CA"/>
        </w:rPr>
        <w:t>un pourcentage égal. La SÉQ a fourni le tableau 8.1 dans la demande pour illustrer les différences entre les tarifs pour la ville d</w:t>
      </w:r>
      <w:r w:rsidR="00296C2D">
        <w:rPr>
          <w:rFonts w:eastAsia="Gadugi"/>
          <w:lang w:bidi="fr-CA"/>
        </w:rPr>
        <w:t>’</w:t>
      </w:r>
      <w:r w:rsidRPr="008166D7">
        <w:rPr>
          <w:rFonts w:eastAsia="Gadugi"/>
          <w:lang w:bidi="fr-CA"/>
        </w:rPr>
        <w:t>Iqaluit et le hameau de Kugaaruk.</w:t>
      </w:r>
    </w:p>
    <w:p w14:paraId="7262C96D" w14:textId="53ABF2BF" w:rsidR="002E7916" w:rsidRPr="008166D7" w:rsidRDefault="00813998" w:rsidP="001A4F3B">
      <w:pPr>
        <w:pStyle w:val="Corpsdetexte"/>
        <w:ind w:hanging="530"/>
      </w:pPr>
      <w:r w:rsidRPr="008166D7">
        <w:rPr>
          <w:rFonts w:eastAsia="Gadugi"/>
          <w:lang w:bidi="fr-CA"/>
        </w:rPr>
        <w:t>La SÉQ a indiqué que les grands projets d</w:t>
      </w:r>
      <w:r w:rsidR="00296C2D">
        <w:rPr>
          <w:rFonts w:eastAsia="Gadugi"/>
          <w:lang w:bidi="fr-CA"/>
        </w:rPr>
        <w:t>’</w:t>
      </w:r>
      <w:r w:rsidRPr="008166D7">
        <w:rPr>
          <w:rFonts w:eastAsia="Gadugi"/>
          <w:lang w:bidi="fr-CA"/>
        </w:rPr>
        <w:t>immobilisations exercent une pression considérable sur les tarifs, surtout dans les petites collectivités. La SÉQ a fourni le tableau 8.2 dans la demande pour illustrer les différences entre la hausse tarifaire au niveau de la collectivité et à l</w:t>
      </w:r>
      <w:r w:rsidR="00296C2D">
        <w:rPr>
          <w:rFonts w:eastAsia="Gadugi"/>
          <w:lang w:bidi="fr-CA"/>
        </w:rPr>
        <w:t>’</w:t>
      </w:r>
      <w:r w:rsidRPr="008166D7">
        <w:rPr>
          <w:rFonts w:eastAsia="Gadugi"/>
          <w:lang w:bidi="fr-CA"/>
        </w:rPr>
        <w:t>échelle du</w:t>
      </w:r>
      <w:r w:rsidR="00563FA3">
        <w:rPr>
          <w:rFonts w:eastAsia="Gadugi"/>
          <w:lang w:bidi="fr-CA"/>
        </w:rPr>
        <w:t xml:space="preserve"> </w:t>
      </w:r>
      <w:r w:rsidRPr="008166D7">
        <w:rPr>
          <w:rFonts w:eastAsia="Gadugi"/>
          <w:lang w:bidi="fr-CA"/>
        </w:rPr>
        <w:t>Nunavut.</w:t>
      </w:r>
    </w:p>
    <w:p w14:paraId="7262C96E" w14:textId="4F321F01" w:rsidR="00E2199D" w:rsidRPr="008166D7" w:rsidRDefault="00813998" w:rsidP="001A4F3B">
      <w:pPr>
        <w:pStyle w:val="Corpsdetexte"/>
        <w:ind w:hanging="530"/>
      </w:pPr>
      <w:r w:rsidRPr="008166D7">
        <w:rPr>
          <w:rFonts w:eastAsia="Gadugi"/>
          <w:lang w:bidi="fr-CA"/>
        </w:rPr>
        <w:t>La SÉQ a également indiqué qu</w:t>
      </w:r>
      <w:r w:rsidR="00296C2D">
        <w:rPr>
          <w:rFonts w:eastAsia="Gadugi"/>
          <w:lang w:bidi="fr-CA"/>
        </w:rPr>
        <w:t>’</w:t>
      </w:r>
      <w:r w:rsidRPr="008166D7">
        <w:rPr>
          <w:rFonts w:eastAsia="Gadugi"/>
          <w:lang w:bidi="fr-CA"/>
        </w:rPr>
        <w:t>en vertu de la structure tarifaire actuelle, les petites collectivités sont désavantagées par rapport aux grandes en ce qui concerne le développement de projets d</w:t>
      </w:r>
      <w:r w:rsidR="00296C2D">
        <w:rPr>
          <w:rFonts w:eastAsia="Gadugi"/>
          <w:lang w:bidi="fr-CA"/>
        </w:rPr>
        <w:t>’</w:t>
      </w:r>
      <w:r w:rsidRPr="008166D7">
        <w:rPr>
          <w:rFonts w:eastAsia="Gadugi"/>
          <w:lang w:bidi="fr-CA"/>
        </w:rPr>
        <w:t>énergie renouvelable. La SÉQ estime que cela est principalement dû au fait que les clients (dans le cadre du PÉCI) doivent acheter de l</w:t>
      </w:r>
      <w:r w:rsidR="00296C2D">
        <w:rPr>
          <w:rFonts w:eastAsia="Gadugi"/>
          <w:lang w:bidi="fr-CA"/>
        </w:rPr>
        <w:t>’</w:t>
      </w:r>
      <w:r w:rsidRPr="008166D7">
        <w:rPr>
          <w:rFonts w:eastAsia="Gadugi"/>
          <w:lang w:bidi="fr-CA"/>
        </w:rPr>
        <w:t>énergie à des tarifs plus élevés dans les petites collectivités, mais qu</w:t>
      </w:r>
      <w:r w:rsidR="00296C2D">
        <w:rPr>
          <w:rFonts w:eastAsia="Gadugi"/>
          <w:lang w:bidi="fr-CA"/>
        </w:rPr>
        <w:t>’</w:t>
      </w:r>
      <w:r w:rsidRPr="008166D7">
        <w:rPr>
          <w:rFonts w:eastAsia="Gadugi"/>
          <w:lang w:bidi="fr-CA"/>
        </w:rPr>
        <w:t>ils vendent leur énergie aux mêmes tarifs dans toutes les collectivités.</w:t>
      </w:r>
    </w:p>
    <w:p w14:paraId="7262C96F" w14:textId="2ED6DEDF" w:rsidR="00AB65E1" w:rsidRPr="008166D7" w:rsidRDefault="00813998" w:rsidP="001A4F3B">
      <w:pPr>
        <w:pStyle w:val="Corpsdetexte"/>
        <w:ind w:hanging="530"/>
      </w:pPr>
      <w:r w:rsidRPr="008166D7">
        <w:rPr>
          <w:rFonts w:eastAsia="Gadugi"/>
          <w:lang w:bidi="fr-CA"/>
        </w:rPr>
        <w:t>Le CETES prend note du résumé, à la page 8-8 de la demande, des raisons pour lesquelles la SÉQ propose de mettre en œuvre des tarifs à l</w:t>
      </w:r>
      <w:r w:rsidR="00296C2D">
        <w:rPr>
          <w:rFonts w:eastAsia="Gadugi"/>
          <w:lang w:bidi="fr-CA"/>
        </w:rPr>
        <w:t>’</w:t>
      </w:r>
      <w:r w:rsidRPr="008166D7">
        <w:rPr>
          <w:rFonts w:eastAsia="Gadugi"/>
          <w:lang w:bidi="fr-CA"/>
        </w:rPr>
        <w:t>échelle du Nunavut.</w:t>
      </w:r>
    </w:p>
    <w:p w14:paraId="7262C970" w14:textId="56528E25" w:rsidR="008B596D" w:rsidRPr="008166D7" w:rsidRDefault="00813998" w:rsidP="001A4F3B">
      <w:pPr>
        <w:pStyle w:val="Corpsdetexte"/>
        <w:ind w:hanging="530"/>
      </w:pPr>
      <w:r w:rsidRPr="008166D7">
        <w:rPr>
          <w:rFonts w:eastAsia="Gadugi"/>
          <w:lang w:bidi="fr-CA"/>
        </w:rPr>
        <w:t>Après avoir examiné les RMTG précédentes, le CETES a recommandé l</w:t>
      </w:r>
      <w:r w:rsidR="00296C2D">
        <w:rPr>
          <w:rFonts w:eastAsia="Gadugi"/>
          <w:lang w:bidi="fr-CA"/>
        </w:rPr>
        <w:t>’</w:t>
      </w:r>
      <w:r w:rsidRPr="008166D7">
        <w:rPr>
          <w:rFonts w:eastAsia="Gadugi"/>
          <w:lang w:bidi="fr-CA"/>
        </w:rPr>
        <w:t>adoption de tarifs à l</w:t>
      </w:r>
      <w:r w:rsidR="00296C2D">
        <w:rPr>
          <w:rFonts w:eastAsia="Gadugi"/>
          <w:lang w:bidi="fr-CA"/>
        </w:rPr>
        <w:t>’</w:t>
      </w:r>
      <w:r w:rsidRPr="008166D7">
        <w:rPr>
          <w:rFonts w:eastAsia="Gadugi"/>
          <w:lang w:bidi="fr-CA"/>
        </w:rPr>
        <w:t>échelle du</w:t>
      </w:r>
      <w:r w:rsidR="004D4F46">
        <w:rPr>
          <w:rFonts w:eastAsia="Gadugi"/>
          <w:lang w:bidi="fr-CA"/>
        </w:rPr>
        <w:t xml:space="preserve"> </w:t>
      </w:r>
      <w:r w:rsidRPr="008166D7">
        <w:rPr>
          <w:rFonts w:eastAsia="Gadugi"/>
          <w:lang w:bidi="fr-CA"/>
        </w:rPr>
        <w:t>Nunavut et continue de recommander leur mise en œuvre dans les 25 collectivités du Nunavut.</w:t>
      </w:r>
    </w:p>
    <w:p w14:paraId="7262C971" w14:textId="77777777" w:rsidR="008B596D" w:rsidRPr="008166D7" w:rsidRDefault="00813998" w:rsidP="001A4F3B">
      <w:pPr>
        <w:pStyle w:val="Corpsdetexte"/>
        <w:ind w:hanging="530"/>
      </w:pPr>
      <w:r w:rsidRPr="008166D7">
        <w:rPr>
          <w:rFonts w:eastAsia="Gadugi"/>
          <w:lang w:bidi="fr-CA"/>
        </w:rPr>
        <w:t>Le CETES examinera la conception tarifaire proposée par la SÉQ dans les sections qui suivent.</w:t>
      </w:r>
    </w:p>
    <w:p w14:paraId="7262C972" w14:textId="77777777" w:rsidR="007E5103" w:rsidRPr="008166D7" w:rsidRDefault="00813998" w:rsidP="00895858">
      <w:pPr>
        <w:pStyle w:val="Heading3URRC"/>
        <w:rPr>
          <w:rFonts w:ascii="Times New Roman" w:hAnsi="Times New Roman"/>
        </w:rPr>
      </w:pPr>
      <w:r w:rsidRPr="008166D7">
        <w:rPr>
          <w:rFonts w:ascii="Times New Roman" w:eastAsia="Gadugi" w:hAnsi="Times New Roman"/>
          <w:lang w:bidi="fr-CA"/>
        </w:rPr>
        <w:t>TRANSITION VERS DES TARIFS À L’ÉCHELLE DU NUNAVUT</w:t>
      </w:r>
    </w:p>
    <w:p w14:paraId="7262C973" w14:textId="77777777" w:rsidR="002B1BD2" w:rsidRPr="008166D7" w:rsidRDefault="00813998" w:rsidP="00561F93">
      <w:pPr>
        <w:pStyle w:val="Corpsdetexte"/>
        <w:ind w:hanging="530"/>
        <w:rPr>
          <w:lang w:val="fr-FR"/>
        </w:rPr>
      </w:pPr>
      <w:r w:rsidRPr="008166D7">
        <w:rPr>
          <w:rFonts w:eastAsia="Gadugi"/>
          <w:lang w:bidi="fr-CA"/>
        </w:rPr>
        <w:t>Le CETES indique que la SÉQ a déclaré que ses objectifs de conception tarifaire pour la RMTG de 2022-2023 étaient les suivants :</w:t>
      </w:r>
    </w:p>
    <w:p w14:paraId="7262C974" w14:textId="392DD122" w:rsidR="002B1BD2" w:rsidRPr="008166D7" w:rsidRDefault="00813998" w:rsidP="008305C7">
      <w:pPr>
        <w:pStyle w:val="Corpsdetexte"/>
        <w:numPr>
          <w:ilvl w:val="1"/>
          <w:numId w:val="7"/>
        </w:numPr>
        <w:ind w:left="1440"/>
        <w:rPr>
          <w:lang w:val="fr-FR"/>
        </w:rPr>
      </w:pPr>
      <w:proofErr w:type="gramStart"/>
      <w:r w:rsidRPr="008166D7">
        <w:rPr>
          <w:rFonts w:eastAsia="Gadugi"/>
          <w:lang w:bidi="fr-CA"/>
        </w:rPr>
        <w:t>les</w:t>
      </w:r>
      <w:proofErr w:type="gramEnd"/>
      <w:r w:rsidRPr="008166D7">
        <w:rPr>
          <w:rFonts w:eastAsia="Gadugi"/>
          <w:lang w:bidi="fr-CA"/>
        </w:rPr>
        <w:t xml:space="preserve"> tarifs doivent être fixés de manière à recouvrer les besoins en revenus de 141,5 millions de dollars (c</w:t>
      </w:r>
      <w:r w:rsidR="00296C2D">
        <w:rPr>
          <w:rFonts w:eastAsia="Gadugi"/>
          <w:lang w:bidi="fr-CA"/>
        </w:rPr>
        <w:t>’</w:t>
      </w:r>
      <w:r w:rsidRPr="008166D7">
        <w:rPr>
          <w:rFonts w:eastAsia="Gadugi"/>
          <w:lang w:bidi="fr-CA"/>
        </w:rPr>
        <w:t>est-à-dire les besoins en revenus de 144,015 millions de dollars moins les revenus autres que ceux de l</w:t>
      </w:r>
      <w:r w:rsidR="00296C2D">
        <w:rPr>
          <w:rFonts w:eastAsia="Gadugi"/>
          <w:lang w:bidi="fr-CA"/>
        </w:rPr>
        <w:t>’</w:t>
      </w:r>
      <w:r w:rsidRPr="008166D7">
        <w:rPr>
          <w:rFonts w:eastAsia="Gadugi"/>
          <w:lang w:bidi="fr-CA"/>
        </w:rPr>
        <w:t>électricité de 2,511 millions de dollars);</w:t>
      </w:r>
    </w:p>
    <w:p w14:paraId="7262C975" w14:textId="5F3171FE" w:rsidR="002B1BD2" w:rsidRPr="008166D7" w:rsidRDefault="00813998" w:rsidP="008305C7">
      <w:pPr>
        <w:pStyle w:val="Corpsdetexte"/>
        <w:numPr>
          <w:ilvl w:val="1"/>
          <w:numId w:val="7"/>
        </w:numPr>
        <w:ind w:left="1440"/>
        <w:rPr>
          <w:lang w:val="fr-FR"/>
        </w:rPr>
      </w:pPr>
      <w:proofErr w:type="gramStart"/>
      <w:r w:rsidRPr="008166D7">
        <w:rPr>
          <w:rFonts w:eastAsia="Gadugi"/>
          <w:lang w:bidi="fr-CA"/>
        </w:rPr>
        <w:lastRenderedPageBreak/>
        <w:t>imposer</w:t>
      </w:r>
      <w:proofErr w:type="gramEnd"/>
      <w:r w:rsidRPr="008166D7">
        <w:rPr>
          <w:rFonts w:eastAsia="Gadugi"/>
          <w:lang w:bidi="fr-CA"/>
        </w:rPr>
        <w:t xml:space="preserve"> des tarifs à l’échelle du Nunavut;</w:t>
      </w:r>
    </w:p>
    <w:p w14:paraId="7262C976" w14:textId="6DCFFCE3" w:rsidR="002B1BD2" w:rsidRPr="008166D7" w:rsidRDefault="00813998" w:rsidP="008305C7">
      <w:pPr>
        <w:pStyle w:val="Corpsdetexte"/>
        <w:numPr>
          <w:ilvl w:val="1"/>
          <w:numId w:val="7"/>
        </w:numPr>
        <w:ind w:left="1440"/>
        <w:rPr>
          <w:lang w:val="fr-FR"/>
        </w:rPr>
      </w:pPr>
      <w:proofErr w:type="gramStart"/>
      <w:r w:rsidRPr="008166D7">
        <w:rPr>
          <w:rFonts w:eastAsia="Gadugi"/>
          <w:lang w:bidi="fr-CA"/>
        </w:rPr>
        <w:t>passer</w:t>
      </w:r>
      <w:proofErr w:type="gramEnd"/>
      <w:r w:rsidRPr="008166D7">
        <w:rPr>
          <w:rFonts w:eastAsia="Gadugi"/>
          <w:lang w:bidi="fr-CA"/>
        </w:rPr>
        <w:t xml:space="preserve"> à un ratio de la couverture du co</w:t>
      </w:r>
      <w:r w:rsidR="008166D7">
        <w:rPr>
          <w:rFonts w:eastAsia="Gadugi"/>
          <w:lang w:bidi="fr-CA"/>
        </w:rPr>
        <w:t>u</w:t>
      </w:r>
      <w:r w:rsidRPr="008166D7">
        <w:rPr>
          <w:rFonts w:eastAsia="Gadugi"/>
          <w:lang w:bidi="fr-CA"/>
        </w:rPr>
        <w:t>t des recettes de 95 à 105 % pour chaque classe de tarification;</w:t>
      </w:r>
    </w:p>
    <w:p w14:paraId="7262C977" w14:textId="40BCF8A1" w:rsidR="002B1BD2" w:rsidRPr="008166D7" w:rsidRDefault="00813998" w:rsidP="008305C7">
      <w:pPr>
        <w:pStyle w:val="Corpsdetexte"/>
        <w:numPr>
          <w:ilvl w:val="1"/>
          <w:numId w:val="7"/>
        </w:numPr>
        <w:ind w:left="1440"/>
        <w:rPr>
          <w:lang w:val="en-CA"/>
        </w:rPr>
      </w:pPr>
      <w:proofErr w:type="gramStart"/>
      <w:r w:rsidRPr="008166D7">
        <w:rPr>
          <w:rFonts w:eastAsia="Gadugi"/>
          <w:lang w:bidi="fr-CA"/>
        </w:rPr>
        <w:t>accro</w:t>
      </w:r>
      <w:r w:rsidR="00AD7DDC">
        <w:rPr>
          <w:rFonts w:eastAsia="Gadugi"/>
          <w:lang w:bidi="fr-CA"/>
        </w:rPr>
        <w:t>i</w:t>
      </w:r>
      <w:r w:rsidRPr="008166D7">
        <w:rPr>
          <w:rFonts w:eastAsia="Gadugi"/>
          <w:lang w:bidi="fr-CA"/>
        </w:rPr>
        <w:t>tre</w:t>
      </w:r>
      <w:proofErr w:type="gramEnd"/>
      <w:r w:rsidRPr="008166D7">
        <w:rPr>
          <w:rFonts w:eastAsia="Gadugi"/>
          <w:lang w:bidi="fr-CA"/>
        </w:rPr>
        <w:t xml:space="preserve"> l</w:t>
      </w:r>
      <w:r w:rsidR="00296C2D">
        <w:rPr>
          <w:rFonts w:eastAsia="Gadugi"/>
          <w:lang w:bidi="fr-CA"/>
        </w:rPr>
        <w:t>’</w:t>
      </w:r>
      <w:r w:rsidRPr="008166D7">
        <w:rPr>
          <w:rFonts w:eastAsia="Gadugi"/>
          <w:lang w:bidi="fr-CA"/>
        </w:rPr>
        <w:t>efficacité administrative;</w:t>
      </w:r>
    </w:p>
    <w:p w14:paraId="7262C978" w14:textId="151EE558" w:rsidR="002B1BD2" w:rsidRPr="008166D7" w:rsidRDefault="00813998" w:rsidP="008305C7">
      <w:pPr>
        <w:pStyle w:val="Corpsdetexte"/>
        <w:numPr>
          <w:ilvl w:val="1"/>
          <w:numId w:val="7"/>
        </w:numPr>
        <w:ind w:left="1440"/>
        <w:rPr>
          <w:lang w:val="fr-FR"/>
        </w:rPr>
      </w:pPr>
      <w:proofErr w:type="gramStart"/>
      <w:r w:rsidRPr="008166D7">
        <w:rPr>
          <w:rFonts w:eastAsia="Gadugi"/>
          <w:lang w:bidi="fr-CA"/>
        </w:rPr>
        <w:t>concentrer</w:t>
      </w:r>
      <w:proofErr w:type="gramEnd"/>
      <w:r w:rsidRPr="008166D7">
        <w:rPr>
          <w:rFonts w:eastAsia="Gadugi"/>
          <w:lang w:bidi="fr-CA"/>
        </w:rPr>
        <w:t xml:space="preserve"> les ajustements tarifaires sur la portion énergétique du tarif;</w:t>
      </w:r>
    </w:p>
    <w:p w14:paraId="7262C979" w14:textId="54996C7F" w:rsidR="002B1BD2" w:rsidRPr="008166D7" w:rsidRDefault="00813998" w:rsidP="008305C7">
      <w:pPr>
        <w:pStyle w:val="Corpsdetexte"/>
        <w:numPr>
          <w:ilvl w:val="1"/>
          <w:numId w:val="7"/>
        </w:numPr>
        <w:ind w:left="1440"/>
        <w:rPr>
          <w:lang w:val="fr-FR"/>
        </w:rPr>
      </w:pPr>
      <w:proofErr w:type="gramStart"/>
      <w:r w:rsidRPr="008166D7">
        <w:rPr>
          <w:rFonts w:eastAsia="Gadugi"/>
          <w:lang w:bidi="fr-CA"/>
        </w:rPr>
        <w:t>ne</w:t>
      </w:r>
      <w:proofErr w:type="gramEnd"/>
      <w:r w:rsidRPr="008166D7">
        <w:rPr>
          <w:rFonts w:eastAsia="Gadugi"/>
          <w:lang w:bidi="fr-CA"/>
        </w:rPr>
        <w:t xml:space="preserve"> pas augmenter la facture des catégories de clients non gouvernementaux en raison de la transition vers une structure tarifaire à l</w:t>
      </w:r>
      <w:r w:rsidR="00296C2D">
        <w:rPr>
          <w:rFonts w:eastAsia="Gadugi"/>
          <w:lang w:bidi="fr-CA"/>
        </w:rPr>
        <w:t>’</w:t>
      </w:r>
      <w:r w:rsidRPr="008166D7">
        <w:rPr>
          <w:rFonts w:eastAsia="Gadugi"/>
          <w:lang w:bidi="fr-CA"/>
        </w:rPr>
        <w:t>échelle du Nunavut.</w:t>
      </w:r>
    </w:p>
    <w:p w14:paraId="7262C97A" w14:textId="4E5F70B7" w:rsidR="00561F93" w:rsidRPr="008166D7" w:rsidRDefault="00813998" w:rsidP="00561F93">
      <w:pPr>
        <w:pStyle w:val="Corpsdetexte"/>
        <w:ind w:hanging="530"/>
        <w:rPr>
          <w:lang w:val="fr-FR"/>
        </w:rPr>
      </w:pPr>
      <w:r w:rsidRPr="008166D7">
        <w:rPr>
          <w:rFonts w:eastAsia="Gadugi"/>
          <w:lang w:bidi="fr-CA"/>
        </w:rPr>
        <w:t>Le CETES prend également note de la méthode proposée par la SÉQ pour élaborer les tarifs d</w:t>
      </w:r>
      <w:r w:rsidR="00296C2D">
        <w:rPr>
          <w:rFonts w:eastAsia="Gadugi"/>
          <w:lang w:bidi="fr-CA"/>
        </w:rPr>
        <w:t>’</w:t>
      </w:r>
      <w:r w:rsidRPr="008166D7">
        <w:rPr>
          <w:rFonts w:eastAsia="Gadugi"/>
          <w:lang w:bidi="fr-CA"/>
        </w:rPr>
        <w:t>électricité pour les clients résidentiels et commerciaux, lesquels entreront en vigueur le 1er octobre 2022. Le CETES comprend que la SÉQ fixera des tarifs distincts à l</w:t>
      </w:r>
      <w:r w:rsidR="00296C2D">
        <w:rPr>
          <w:rFonts w:eastAsia="Gadugi"/>
          <w:lang w:bidi="fr-CA"/>
        </w:rPr>
        <w:t>’</w:t>
      </w:r>
      <w:r w:rsidRPr="008166D7">
        <w:rPr>
          <w:rFonts w:eastAsia="Gadugi"/>
          <w:lang w:bidi="fr-CA"/>
        </w:rPr>
        <w:t>échelle du Nunavut pour les clients gouvernementaux et non gouvernementaux. La SÉQ a indiqué qu</w:t>
      </w:r>
      <w:r w:rsidR="00296C2D">
        <w:rPr>
          <w:rFonts w:eastAsia="Gadugi"/>
          <w:lang w:bidi="fr-CA"/>
        </w:rPr>
        <w:t>’</w:t>
      </w:r>
      <w:r w:rsidRPr="008166D7">
        <w:rPr>
          <w:rFonts w:eastAsia="Gadugi"/>
          <w:lang w:bidi="fr-CA"/>
        </w:rPr>
        <w:t>en vertu de l</w:t>
      </w:r>
      <w:r w:rsidR="00296C2D">
        <w:rPr>
          <w:rFonts w:eastAsia="Gadugi"/>
          <w:lang w:bidi="fr-CA"/>
        </w:rPr>
        <w:t>’</w:t>
      </w:r>
      <w:r w:rsidRPr="008166D7">
        <w:rPr>
          <w:rFonts w:eastAsia="Gadugi"/>
          <w:lang w:bidi="fr-CA"/>
        </w:rPr>
        <w:t>approche proposée, le tarif pour les clients non gouvernementaux à l</w:t>
      </w:r>
      <w:r w:rsidR="00296C2D">
        <w:rPr>
          <w:rFonts w:eastAsia="Gadugi"/>
          <w:lang w:bidi="fr-CA"/>
        </w:rPr>
        <w:t>’</w:t>
      </w:r>
      <w:r w:rsidRPr="008166D7">
        <w:rPr>
          <w:rFonts w:eastAsia="Gadugi"/>
          <w:lang w:bidi="fr-CA"/>
        </w:rPr>
        <w:t>échelle du Nunavut sera fixé aux tarifs pour les clients non gouvernementaux de la ville d</w:t>
      </w:r>
      <w:r w:rsidR="00296C2D">
        <w:rPr>
          <w:rFonts w:eastAsia="Gadugi"/>
          <w:lang w:bidi="fr-CA"/>
        </w:rPr>
        <w:t>’</w:t>
      </w:r>
      <w:r w:rsidRPr="008166D7">
        <w:rPr>
          <w:rFonts w:eastAsia="Gadugi"/>
          <w:lang w:bidi="fr-CA"/>
        </w:rPr>
        <w:t>Iqaluit, ajustés à la hausse tarifaire globale requise de 5,1 %. Les tarifs des clients gouvernementaux à l</w:t>
      </w:r>
      <w:r w:rsidR="00296C2D">
        <w:rPr>
          <w:rFonts w:eastAsia="Gadugi"/>
          <w:lang w:bidi="fr-CA"/>
        </w:rPr>
        <w:t>’</w:t>
      </w:r>
      <w:r w:rsidRPr="008166D7">
        <w:rPr>
          <w:rFonts w:eastAsia="Gadugi"/>
          <w:lang w:bidi="fr-CA"/>
        </w:rPr>
        <w:t>échelle du Nunavut seront alors fixés au niveau requis pour recouvrer le manque à gagner restant.</w:t>
      </w:r>
    </w:p>
    <w:p w14:paraId="7262C97B" w14:textId="37612A23" w:rsidR="00F739CA" w:rsidRPr="008166D7" w:rsidRDefault="00813998" w:rsidP="00561F93">
      <w:pPr>
        <w:pStyle w:val="Corpsdetexte"/>
        <w:ind w:hanging="530"/>
        <w:rPr>
          <w:lang w:val="en-CA"/>
        </w:rPr>
      </w:pPr>
      <w:r w:rsidRPr="008166D7">
        <w:rPr>
          <w:rFonts w:eastAsia="Gadugi"/>
          <w:lang w:bidi="fr-CA"/>
        </w:rPr>
        <w:t>La SÉQ a résumé les étapes qu</w:t>
      </w:r>
      <w:r w:rsidR="00296C2D">
        <w:rPr>
          <w:rFonts w:eastAsia="Gadugi"/>
          <w:lang w:bidi="fr-CA"/>
        </w:rPr>
        <w:t>’</w:t>
      </w:r>
      <w:r w:rsidRPr="008166D7">
        <w:rPr>
          <w:rFonts w:eastAsia="Gadugi"/>
          <w:lang w:bidi="fr-CA"/>
        </w:rPr>
        <w:t>elle a suivies aux pages 8-10 et 8-11 de la demande. La SÉQ a indiqué qu</w:t>
      </w:r>
      <w:r w:rsidR="00296C2D">
        <w:rPr>
          <w:rFonts w:eastAsia="Gadugi"/>
          <w:lang w:bidi="fr-CA"/>
        </w:rPr>
        <w:t>’</w:t>
      </w:r>
      <w:r w:rsidRPr="008166D7">
        <w:rPr>
          <w:rFonts w:eastAsia="Gadugi"/>
          <w:lang w:bidi="fr-CA"/>
        </w:rPr>
        <w:t>en vertu de l</w:t>
      </w:r>
      <w:r w:rsidR="00296C2D">
        <w:rPr>
          <w:rFonts w:eastAsia="Gadugi"/>
          <w:lang w:bidi="fr-CA"/>
        </w:rPr>
        <w:t>’</w:t>
      </w:r>
      <w:r w:rsidRPr="008166D7">
        <w:rPr>
          <w:rFonts w:eastAsia="Gadugi"/>
          <w:lang w:bidi="fr-CA"/>
        </w:rPr>
        <w:t>approche proposée, aucun client non gouvernemental ne subira d</w:t>
      </w:r>
      <w:r w:rsidR="00296C2D">
        <w:rPr>
          <w:rFonts w:eastAsia="Gadugi"/>
          <w:lang w:bidi="fr-CA"/>
        </w:rPr>
        <w:t>’</w:t>
      </w:r>
      <w:r w:rsidRPr="008166D7">
        <w:rPr>
          <w:rFonts w:eastAsia="Gadugi"/>
          <w:lang w:bidi="fr-CA"/>
        </w:rPr>
        <w:t>impact sur la facturation qui soit supérieur à la hausse tarifaire à pourcentage égal requise de 5,1 % pour l</w:t>
      </w:r>
      <w:r w:rsidR="00296C2D">
        <w:rPr>
          <w:rFonts w:eastAsia="Gadugi"/>
          <w:lang w:bidi="fr-CA"/>
        </w:rPr>
        <w:t>’</w:t>
      </w:r>
      <w:r w:rsidRPr="008166D7">
        <w:rPr>
          <w:rFonts w:eastAsia="Gadugi"/>
          <w:lang w:bidi="fr-CA"/>
        </w:rPr>
        <w:t xml:space="preserve">exercice de référence de la RMTG de 2022-2023. Les tarifs pour les lampadaires augmenteront également de 5,1 %. </w:t>
      </w:r>
    </w:p>
    <w:p w14:paraId="7262C97C" w14:textId="49876A02" w:rsidR="00C07DF5" w:rsidRPr="008166D7" w:rsidRDefault="00813998" w:rsidP="00561F93">
      <w:pPr>
        <w:pStyle w:val="Corpsdetexte"/>
        <w:ind w:hanging="530"/>
        <w:rPr>
          <w:lang w:val="fr-FR"/>
        </w:rPr>
      </w:pPr>
      <w:r w:rsidRPr="008166D7">
        <w:rPr>
          <w:rFonts w:eastAsia="Gadugi"/>
          <w:lang w:bidi="fr-CA"/>
        </w:rPr>
        <w:t>La SÉQ a déclaré que l</w:t>
      </w:r>
      <w:r w:rsidR="00296C2D">
        <w:rPr>
          <w:rFonts w:eastAsia="Gadugi"/>
          <w:lang w:bidi="fr-CA"/>
        </w:rPr>
        <w:t>’</w:t>
      </w:r>
      <w:r w:rsidRPr="008166D7">
        <w:rPr>
          <w:rFonts w:eastAsia="Gadugi"/>
          <w:lang w:bidi="fr-CA"/>
        </w:rPr>
        <w:t>approche proposée entra</w:t>
      </w:r>
      <w:r w:rsidR="00296C2D">
        <w:rPr>
          <w:rFonts w:eastAsia="Gadugi"/>
          <w:lang w:bidi="fr-CA"/>
        </w:rPr>
        <w:t>i</w:t>
      </w:r>
      <w:r w:rsidRPr="008166D7">
        <w:rPr>
          <w:rFonts w:eastAsia="Gadugi"/>
          <w:lang w:bidi="fr-CA"/>
        </w:rPr>
        <w:t>nera une augmentation de 8,5 millions de dollars pour les clients gouvernementaux afin de subventionner les clients non gouvernementaux. La SÉQ a indiqué que l</w:t>
      </w:r>
      <w:r w:rsidR="00296C2D">
        <w:rPr>
          <w:rFonts w:eastAsia="Gadugi"/>
          <w:lang w:bidi="fr-CA"/>
        </w:rPr>
        <w:t>’</w:t>
      </w:r>
      <w:r w:rsidRPr="008166D7">
        <w:rPr>
          <w:rFonts w:eastAsia="Gadugi"/>
          <w:lang w:bidi="fr-CA"/>
        </w:rPr>
        <w:t>approche proposée est quelque peu similaire à l</w:t>
      </w:r>
      <w:r w:rsidR="00296C2D">
        <w:rPr>
          <w:rFonts w:eastAsia="Gadugi"/>
          <w:lang w:bidi="fr-CA"/>
        </w:rPr>
        <w:t>’</w:t>
      </w:r>
      <w:r w:rsidRPr="008166D7">
        <w:rPr>
          <w:rFonts w:eastAsia="Gadugi"/>
          <w:lang w:bidi="fr-CA"/>
        </w:rPr>
        <w:t>approche adoptée par les Territoires du Nord-Ouest en 2010, qui ont établi des structures tarifaires par zone et où les tarifs gouvernementaux subventionnent les tarifs non gouvernementaux.</w:t>
      </w:r>
    </w:p>
    <w:p w14:paraId="7262C97D" w14:textId="5A03E681" w:rsidR="00345B03" w:rsidRPr="008166D7" w:rsidRDefault="00813998" w:rsidP="00345B03">
      <w:pPr>
        <w:pStyle w:val="Corpsdetexte"/>
        <w:ind w:hanging="530"/>
        <w:rPr>
          <w:lang w:val="fr-FR"/>
        </w:rPr>
      </w:pPr>
      <w:r w:rsidRPr="008166D7">
        <w:rPr>
          <w:rFonts w:eastAsia="Gadugi"/>
          <w:lang w:bidi="fr-CA"/>
        </w:rPr>
        <w:lastRenderedPageBreak/>
        <w:t>Le CETES a examiné et appui l</w:t>
      </w:r>
      <w:r w:rsidR="00296C2D">
        <w:rPr>
          <w:rFonts w:eastAsia="Gadugi"/>
          <w:lang w:bidi="fr-CA"/>
        </w:rPr>
        <w:t>’</w:t>
      </w:r>
      <w:r w:rsidRPr="008166D7">
        <w:rPr>
          <w:rFonts w:eastAsia="Gadugi"/>
          <w:lang w:bidi="fr-CA"/>
        </w:rPr>
        <w:t>approche proposée par la SÉQ pour imposer les tarifs à l</w:t>
      </w:r>
      <w:r w:rsidR="00296C2D">
        <w:rPr>
          <w:rFonts w:eastAsia="Gadugi"/>
          <w:lang w:bidi="fr-CA"/>
        </w:rPr>
        <w:t>’</w:t>
      </w:r>
      <w:r w:rsidRPr="008166D7">
        <w:rPr>
          <w:rFonts w:eastAsia="Gadugi"/>
          <w:lang w:bidi="fr-CA"/>
        </w:rPr>
        <w:t>échelle du Nunavut, comme le montrent les annexes 8.1 à 8.4 de la demande. Le CETES a examiné les effets de la mise en œuvre des tarifs à l</w:t>
      </w:r>
      <w:r w:rsidR="00296C2D">
        <w:rPr>
          <w:rFonts w:eastAsia="Gadugi"/>
          <w:lang w:bidi="fr-CA"/>
        </w:rPr>
        <w:t>’</w:t>
      </w:r>
      <w:r w:rsidRPr="008166D7">
        <w:rPr>
          <w:rFonts w:eastAsia="Gadugi"/>
          <w:lang w:bidi="fr-CA"/>
        </w:rPr>
        <w:t>échelle du Nunavut sur les différentes collectivités, les classes tarifaires, le gouvernement, la SÉQ et les promoteurs d</w:t>
      </w:r>
      <w:r w:rsidR="00296C2D">
        <w:rPr>
          <w:rFonts w:eastAsia="Gadugi"/>
          <w:lang w:bidi="fr-CA"/>
        </w:rPr>
        <w:t>’</w:t>
      </w:r>
      <w:r w:rsidRPr="008166D7">
        <w:rPr>
          <w:rFonts w:eastAsia="Gadugi"/>
          <w:lang w:bidi="fr-CA"/>
        </w:rPr>
        <w:t>énergie renouvelable. Selon la SÉQ, le passage à des tarifs applicables à l</w:t>
      </w:r>
      <w:r w:rsidR="00296C2D">
        <w:rPr>
          <w:rFonts w:eastAsia="Gadugi"/>
          <w:lang w:bidi="fr-CA"/>
        </w:rPr>
        <w:t>’</w:t>
      </w:r>
      <w:r w:rsidRPr="008166D7">
        <w:rPr>
          <w:rFonts w:eastAsia="Gadugi"/>
          <w:lang w:bidi="fr-CA"/>
        </w:rPr>
        <w:t xml:space="preserve">échelle du Nunavut présente certains avantages : </w:t>
      </w:r>
    </w:p>
    <w:p w14:paraId="7262C97E" w14:textId="0DBB5470" w:rsidR="00345B03" w:rsidRPr="008166D7" w:rsidRDefault="00813998" w:rsidP="0032504C">
      <w:pPr>
        <w:pStyle w:val="Corpsdetexte"/>
        <w:numPr>
          <w:ilvl w:val="1"/>
          <w:numId w:val="7"/>
        </w:numPr>
        <w:ind w:left="1440"/>
        <w:rPr>
          <w:lang w:val="fr-FR"/>
        </w:rPr>
      </w:pPr>
      <w:proofErr w:type="gramStart"/>
      <w:r w:rsidRPr="008166D7">
        <w:rPr>
          <w:rFonts w:eastAsia="Gadugi"/>
          <w:lang w:bidi="fr-CA"/>
        </w:rPr>
        <w:t>une</w:t>
      </w:r>
      <w:proofErr w:type="gramEnd"/>
      <w:r w:rsidRPr="008166D7">
        <w:rPr>
          <w:rFonts w:eastAsia="Gadugi"/>
          <w:lang w:bidi="fr-CA"/>
        </w:rPr>
        <w:t xml:space="preserve"> efficacité administrative pour la SÉQ et ses employés; </w:t>
      </w:r>
    </w:p>
    <w:p w14:paraId="7262C97F" w14:textId="65667A28" w:rsidR="00345B03" w:rsidRPr="008166D7" w:rsidRDefault="00813998" w:rsidP="0032504C">
      <w:pPr>
        <w:pStyle w:val="Corpsdetexte"/>
        <w:numPr>
          <w:ilvl w:val="1"/>
          <w:numId w:val="7"/>
        </w:numPr>
        <w:ind w:left="1440"/>
        <w:rPr>
          <w:lang w:val="fr-FR"/>
        </w:rPr>
      </w:pPr>
      <w:proofErr w:type="gramStart"/>
      <w:r w:rsidRPr="008166D7">
        <w:rPr>
          <w:rFonts w:eastAsia="Gadugi"/>
          <w:lang w:bidi="fr-CA"/>
        </w:rPr>
        <w:t>la</w:t>
      </w:r>
      <w:proofErr w:type="gramEnd"/>
      <w:r w:rsidRPr="008166D7">
        <w:rPr>
          <w:rFonts w:eastAsia="Gadugi"/>
          <w:lang w:bidi="fr-CA"/>
        </w:rPr>
        <w:t xml:space="preserve"> convivialité pour les clients; </w:t>
      </w:r>
    </w:p>
    <w:p w14:paraId="7262C980" w14:textId="185B0523" w:rsidR="00345B03" w:rsidRPr="008166D7" w:rsidRDefault="00813998" w:rsidP="0032504C">
      <w:pPr>
        <w:pStyle w:val="Corpsdetexte"/>
        <w:numPr>
          <w:ilvl w:val="1"/>
          <w:numId w:val="7"/>
        </w:numPr>
        <w:ind w:left="1440"/>
        <w:rPr>
          <w:lang w:val="fr-FR"/>
        </w:rPr>
      </w:pPr>
      <w:proofErr w:type="gramStart"/>
      <w:r w:rsidRPr="008166D7">
        <w:rPr>
          <w:rFonts w:eastAsia="Gadugi"/>
          <w:lang w:bidi="fr-CA"/>
        </w:rPr>
        <w:t>la</w:t>
      </w:r>
      <w:proofErr w:type="gramEnd"/>
      <w:r w:rsidRPr="008166D7">
        <w:rPr>
          <w:rFonts w:eastAsia="Gadugi"/>
          <w:lang w:bidi="fr-CA"/>
        </w:rPr>
        <w:t xml:space="preserve"> plupart des effets/augmentations de transition seront absorbés par les clients du gouvernement; </w:t>
      </w:r>
    </w:p>
    <w:p w14:paraId="7262C981" w14:textId="68D425A8" w:rsidR="00345B03" w:rsidRPr="008166D7" w:rsidRDefault="00813998" w:rsidP="0032504C">
      <w:pPr>
        <w:pStyle w:val="Corpsdetexte"/>
        <w:numPr>
          <w:ilvl w:val="1"/>
          <w:numId w:val="7"/>
        </w:numPr>
        <w:ind w:left="1440"/>
        <w:rPr>
          <w:lang w:val="fr-FR"/>
        </w:rPr>
      </w:pPr>
      <w:proofErr w:type="gramStart"/>
      <w:r w:rsidRPr="008166D7">
        <w:rPr>
          <w:rFonts w:eastAsia="Gadugi"/>
          <w:lang w:bidi="fr-CA"/>
        </w:rPr>
        <w:t>des</w:t>
      </w:r>
      <w:proofErr w:type="gramEnd"/>
      <w:r w:rsidRPr="008166D7">
        <w:rPr>
          <w:rFonts w:eastAsia="Gadugi"/>
          <w:lang w:bidi="fr-CA"/>
        </w:rPr>
        <w:t xml:space="preserve"> conditions de concurrence équitables pour les promoteurs potentiels d</w:t>
      </w:r>
      <w:r w:rsidR="00296C2D">
        <w:rPr>
          <w:rFonts w:eastAsia="Gadugi"/>
          <w:lang w:bidi="fr-CA"/>
        </w:rPr>
        <w:t>’</w:t>
      </w:r>
      <w:r w:rsidRPr="008166D7">
        <w:rPr>
          <w:rFonts w:eastAsia="Gadugi"/>
          <w:lang w:bidi="fr-CA"/>
        </w:rPr>
        <w:t>énergie renouvelable (sur la base du PÉCI actuellement approuvé) et les nouvelles entreprises;</w:t>
      </w:r>
    </w:p>
    <w:p w14:paraId="7262C982" w14:textId="0AA4ADE9" w:rsidR="00345B03" w:rsidRPr="008166D7" w:rsidRDefault="00813998" w:rsidP="0032504C">
      <w:pPr>
        <w:pStyle w:val="Corpsdetexte"/>
        <w:numPr>
          <w:ilvl w:val="1"/>
          <w:numId w:val="7"/>
        </w:numPr>
        <w:ind w:left="1440"/>
        <w:rPr>
          <w:lang w:val="fr-FR"/>
        </w:rPr>
      </w:pPr>
      <w:proofErr w:type="gramStart"/>
      <w:r w:rsidRPr="008166D7">
        <w:rPr>
          <w:rFonts w:eastAsia="Gadugi"/>
          <w:lang w:bidi="fr-CA"/>
        </w:rPr>
        <w:t>l</w:t>
      </w:r>
      <w:r w:rsidR="00296C2D">
        <w:rPr>
          <w:rFonts w:eastAsia="Gadugi"/>
          <w:lang w:bidi="fr-CA"/>
        </w:rPr>
        <w:t>’</w:t>
      </w:r>
      <w:r w:rsidRPr="008166D7">
        <w:rPr>
          <w:rFonts w:eastAsia="Gadugi"/>
          <w:lang w:bidi="fr-CA"/>
        </w:rPr>
        <w:t>effet</w:t>
      </w:r>
      <w:proofErr w:type="gramEnd"/>
      <w:r w:rsidRPr="008166D7">
        <w:rPr>
          <w:rFonts w:eastAsia="Gadugi"/>
          <w:lang w:bidi="fr-CA"/>
        </w:rPr>
        <w:t xml:space="preserve"> sur les clients non gouvernementaux de la ville d</w:t>
      </w:r>
      <w:r w:rsidR="00296C2D">
        <w:rPr>
          <w:rFonts w:eastAsia="Gadugi"/>
          <w:lang w:bidi="fr-CA"/>
        </w:rPr>
        <w:t>’</w:t>
      </w:r>
      <w:r w:rsidRPr="008166D7">
        <w:rPr>
          <w:rFonts w:eastAsia="Gadugi"/>
          <w:lang w:bidi="fr-CA"/>
        </w:rPr>
        <w:t xml:space="preserve">Iqaluit a été limité à 5,1 %; </w:t>
      </w:r>
    </w:p>
    <w:p w14:paraId="7262C983" w14:textId="0DE53CCD" w:rsidR="00345B03" w:rsidRPr="008166D7" w:rsidRDefault="00813998" w:rsidP="0032504C">
      <w:pPr>
        <w:pStyle w:val="Corpsdetexte"/>
        <w:numPr>
          <w:ilvl w:val="1"/>
          <w:numId w:val="7"/>
        </w:numPr>
        <w:ind w:left="1440"/>
        <w:rPr>
          <w:lang w:val="fr-FR"/>
        </w:rPr>
      </w:pPr>
      <w:proofErr w:type="gramStart"/>
      <w:r w:rsidRPr="008166D7">
        <w:rPr>
          <w:rFonts w:eastAsia="Gadugi"/>
          <w:lang w:bidi="fr-CA"/>
        </w:rPr>
        <w:t>l</w:t>
      </w:r>
      <w:r w:rsidR="00296C2D">
        <w:rPr>
          <w:rFonts w:eastAsia="Gadugi"/>
          <w:lang w:bidi="fr-CA"/>
        </w:rPr>
        <w:t>’</w:t>
      </w:r>
      <w:r w:rsidRPr="008166D7">
        <w:rPr>
          <w:rFonts w:eastAsia="Gadugi"/>
          <w:lang w:bidi="fr-CA"/>
        </w:rPr>
        <w:t>effet</w:t>
      </w:r>
      <w:proofErr w:type="gramEnd"/>
      <w:r w:rsidRPr="008166D7">
        <w:rPr>
          <w:rFonts w:eastAsia="Gadugi"/>
          <w:lang w:bidi="fr-CA"/>
        </w:rPr>
        <w:t xml:space="preserve"> sur presque toutes les collectivités se traduira par une diminution des tarifs. </w:t>
      </w:r>
    </w:p>
    <w:p w14:paraId="7262C984" w14:textId="5632762C" w:rsidR="00E360C8" w:rsidRPr="008166D7" w:rsidRDefault="00813998" w:rsidP="00561F93">
      <w:pPr>
        <w:pStyle w:val="Corpsdetexte"/>
        <w:ind w:hanging="530"/>
        <w:rPr>
          <w:lang w:val="fr-FR"/>
        </w:rPr>
      </w:pPr>
      <w:r w:rsidRPr="008166D7">
        <w:rPr>
          <w:rFonts w:eastAsia="Gadugi"/>
          <w:lang w:bidi="fr-CA"/>
        </w:rPr>
        <w:t>Le CETES a également indiqué que le passage à des tarifs applicables à l</w:t>
      </w:r>
      <w:r w:rsidR="00296C2D">
        <w:rPr>
          <w:rFonts w:eastAsia="Gadugi"/>
          <w:lang w:bidi="fr-CA"/>
        </w:rPr>
        <w:t>’</w:t>
      </w:r>
      <w:r w:rsidRPr="008166D7">
        <w:rPr>
          <w:rFonts w:eastAsia="Gadugi"/>
          <w:lang w:bidi="fr-CA"/>
        </w:rPr>
        <w:t>échelle du Nunavut de la manière proposée par la SÉQ présentait certains défis, notamment :</w:t>
      </w:r>
    </w:p>
    <w:p w14:paraId="7262C985" w14:textId="54B07DD7" w:rsidR="00E360C8" w:rsidRPr="008166D7" w:rsidRDefault="00813998" w:rsidP="001A2357">
      <w:pPr>
        <w:pStyle w:val="Corpsdetexte"/>
        <w:numPr>
          <w:ilvl w:val="1"/>
          <w:numId w:val="7"/>
        </w:numPr>
        <w:ind w:left="1440"/>
        <w:rPr>
          <w:lang w:val="fr-FR"/>
        </w:rPr>
      </w:pPr>
      <w:r w:rsidRPr="008166D7">
        <w:rPr>
          <w:rFonts w:eastAsia="Gadugi"/>
          <w:lang w:bidi="fr-CA"/>
        </w:rPr>
        <w:t>L</w:t>
      </w:r>
      <w:r w:rsidR="00296C2D">
        <w:rPr>
          <w:rFonts w:eastAsia="Gadugi"/>
          <w:lang w:bidi="fr-CA"/>
        </w:rPr>
        <w:t>’</w:t>
      </w:r>
      <w:r w:rsidRPr="008166D7">
        <w:rPr>
          <w:rFonts w:eastAsia="Gadugi"/>
          <w:lang w:bidi="fr-CA"/>
        </w:rPr>
        <w:t>effet sur les clients du gouvernement de la ville d</w:t>
      </w:r>
      <w:r w:rsidR="00296C2D">
        <w:rPr>
          <w:rFonts w:eastAsia="Gadugi"/>
          <w:lang w:bidi="fr-CA"/>
        </w:rPr>
        <w:t>’</w:t>
      </w:r>
      <w:r w:rsidRPr="008166D7">
        <w:rPr>
          <w:rFonts w:eastAsia="Gadugi"/>
          <w:lang w:bidi="fr-CA"/>
        </w:rPr>
        <w:t>Iqaluit place potentiellement la ville d</w:t>
      </w:r>
      <w:r w:rsidR="00296C2D">
        <w:rPr>
          <w:rFonts w:eastAsia="Gadugi"/>
          <w:lang w:bidi="fr-CA"/>
        </w:rPr>
        <w:t>’</w:t>
      </w:r>
      <w:r w:rsidRPr="008166D7">
        <w:rPr>
          <w:rFonts w:eastAsia="Gadugi"/>
          <w:lang w:bidi="fr-CA"/>
        </w:rPr>
        <w:t>Iqaluit et ses clients commerciaux dans une position moins favorable par rapport aux autres municipalités, principalement parce que la ville d</w:t>
      </w:r>
      <w:r w:rsidR="00296C2D">
        <w:rPr>
          <w:rFonts w:eastAsia="Gadugi"/>
          <w:lang w:bidi="fr-CA"/>
        </w:rPr>
        <w:t>’</w:t>
      </w:r>
      <w:r w:rsidRPr="008166D7">
        <w:rPr>
          <w:rFonts w:eastAsia="Gadugi"/>
          <w:lang w:bidi="fr-CA"/>
        </w:rPr>
        <w:t>Iqaluit dépend des recettes de l</w:t>
      </w:r>
      <w:r w:rsidR="00296C2D">
        <w:rPr>
          <w:rFonts w:eastAsia="Gadugi"/>
          <w:lang w:bidi="fr-CA"/>
        </w:rPr>
        <w:t>’</w:t>
      </w:r>
      <w:r w:rsidRPr="008166D7">
        <w:rPr>
          <w:rFonts w:eastAsia="Gadugi"/>
          <w:lang w:bidi="fr-CA"/>
        </w:rPr>
        <w:t>impôt foncier et d</w:t>
      </w:r>
      <w:r w:rsidR="00296C2D">
        <w:rPr>
          <w:rFonts w:eastAsia="Gadugi"/>
          <w:lang w:bidi="fr-CA"/>
        </w:rPr>
        <w:t>’</w:t>
      </w:r>
      <w:r w:rsidRPr="008166D7">
        <w:rPr>
          <w:rFonts w:eastAsia="Gadugi"/>
          <w:lang w:bidi="fr-CA"/>
        </w:rPr>
        <w:t>autres frais/taxes, alors que tous les autres hameaux obtiennent des fonds directement du gouvernement par le biais du plan de financement municipal du ministère des Services communautaires et gouvernementaux du GN.</w:t>
      </w:r>
    </w:p>
    <w:p w14:paraId="7262C986" w14:textId="081012C1" w:rsidR="00340E1E" w:rsidRPr="008166D7" w:rsidRDefault="00813998" w:rsidP="001A2357">
      <w:pPr>
        <w:pStyle w:val="Corpsdetexte"/>
        <w:numPr>
          <w:ilvl w:val="1"/>
          <w:numId w:val="7"/>
        </w:numPr>
        <w:ind w:left="1440"/>
        <w:rPr>
          <w:lang w:val="fr-FR"/>
        </w:rPr>
      </w:pPr>
      <w:r w:rsidRPr="008166D7">
        <w:rPr>
          <w:rFonts w:eastAsia="Gadugi"/>
          <w:lang w:bidi="fr-CA"/>
        </w:rPr>
        <w:t>L</w:t>
      </w:r>
      <w:r w:rsidR="00296C2D">
        <w:rPr>
          <w:rFonts w:eastAsia="Gadugi"/>
          <w:lang w:bidi="fr-CA"/>
        </w:rPr>
        <w:t>’</w:t>
      </w:r>
      <w:r w:rsidRPr="008166D7">
        <w:rPr>
          <w:rFonts w:eastAsia="Gadugi"/>
          <w:lang w:bidi="fr-CA"/>
        </w:rPr>
        <w:t>approche proposée par la SÉQ était axée uniquement sur les tarifs d</w:t>
      </w:r>
      <w:r w:rsidR="00296C2D">
        <w:rPr>
          <w:rFonts w:eastAsia="Gadugi"/>
          <w:lang w:bidi="fr-CA"/>
        </w:rPr>
        <w:t>’</w:t>
      </w:r>
      <w:r w:rsidRPr="008166D7">
        <w:rPr>
          <w:rFonts w:eastAsia="Gadugi"/>
          <w:lang w:bidi="fr-CA"/>
        </w:rPr>
        <w:t>électricité.</w:t>
      </w:r>
    </w:p>
    <w:p w14:paraId="7262C987" w14:textId="47E6AA77" w:rsidR="00771DEF" w:rsidRPr="008166D7" w:rsidRDefault="00813998" w:rsidP="00C503C1">
      <w:pPr>
        <w:pStyle w:val="Corpsdetexte"/>
        <w:numPr>
          <w:ilvl w:val="1"/>
          <w:numId w:val="7"/>
        </w:numPr>
        <w:ind w:left="1440"/>
        <w:rPr>
          <w:lang w:val="fr-FR"/>
        </w:rPr>
      </w:pPr>
      <w:r w:rsidRPr="008166D7">
        <w:rPr>
          <w:rFonts w:eastAsia="Gadugi"/>
          <w:lang w:bidi="fr-CA"/>
        </w:rPr>
        <w:lastRenderedPageBreak/>
        <w:t>On ignore si les collectivités non assujetties à l</w:t>
      </w:r>
      <w:r w:rsidR="00296C2D">
        <w:rPr>
          <w:rFonts w:eastAsia="Gadugi"/>
          <w:lang w:bidi="fr-CA"/>
        </w:rPr>
        <w:t>’</w:t>
      </w:r>
      <w:r w:rsidRPr="008166D7">
        <w:rPr>
          <w:rFonts w:eastAsia="Gadugi"/>
          <w:lang w:bidi="fr-CA"/>
        </w:rPr>
        <w:t>impôt qui subissent une hausse tarifaire en raison de la transition seront en mesure de recouvrer entièrement ces co</w:t>
      </w:r>
      <w:r w:rsidR="00AD7DDC">
        <w:rPr>
          <w:rFonts w:eastAsia="Gadugi"/>
          <w:lang w:bidi="fr-CA"/>
        </w:rPr>
        <w:t>u</w:t>
      </w:r>
      <w:r w:rsidRPr="008166D7">
        <w:rPr>
          <w:rFonts w:eastAsia="Gadugi"/>
          <w:lang w:bidi="fr-CA"/>
        </w:rPr>
        <w:t xml:space="preserve">ts supplémentaires par le biais de leurs crédits du GN. </w:t>
      </w:r>
    </w:p>
    <w:p w14:paraId="7262C988" w14:textId="2995CF4B" w:rsidR="00345959" w:rsidRPr="008166D7" w:rsidRDefault="00813998" w:rsidP="00771DEF">
      <w:pPr>
        <w:pStyle w:val="Corpsdetexte"/>
        <w:ind w:hanging="530"/>
        <w:rPr>
          <w:lang w:val="fr-FR"/>
        </w:rPr>
      </w:pPr>
      <w:r w:rsidRPr="008166D7">
        <w:rPr>
          <w:rFonts w:eastAsia="Gadugi"/>
          <w:lang w:bidi="fr-CA"/>
        </w:rPr>
        <w:t>Dans l</w:t>
      </w:r>
      <w:r w:rsidR="00296C2D">
        <w:rPr>
          <w:rFonts w:eastAsia="Gadugi"/>
          <w:lang w:bidi="fr-CA"/>
        </w:rPr>
        <w:t>’</w:t>
      </w:r>
      <w:r w:rsidRPr="008166D7">
        <w:rPr>
          <w:rFonts w:eastAsia="Gadugi"/>
          <w:lang w:bidi="fr-CA"/>
        </w:rPr>
        <w:t>ensemble, le CETES estime que les avantages l</w:t>
      </w:r>
      <w:r w:rsidR="00296C2D">
        <w:rPr>
          <w:rFonts w:eastAsia="Gadugi"/>
          <w:lang w:bidi="fr-CA"/>
        </w:rPr>
        <w:t>’</w:t>
      </w:r>
      <w:r w:rsidRPr="008166D7">
        <w:rPr>
          <w:rFonts w:eastAsia="Gadugi"/>
          <w:lang w:bidi="fr-CA"/>
        </w:rPr>
        <w:t>emportent sur les défis et que les défis peuvent être relevés sans renoncer aux avantages.</w:t>
      </w:r>
    </w:p>
    <w:p w14:paraId="7262C989" w14:textId="36990C15" w:rsidR="00B87905" w:rsidRPr="008166D7" w:rsidRDefault="00813998" w:rsidP="001A4F3B">
      <w:pPr>
        <w:pStyle w:val="Corpsdetexte"/>
        <w:ind w:hanging="530"/>
      </w:pPr>
      <w:r w:rsidRPr="008166D7">
        <w:rPr>
          <w:rFonts w:eastAsia="Gadugi"/>
          <w:lang w:bidi="fr-CA"/>
        </w:rPr>
        <w:t>Le CETES recommande que les tarifs à l</w:t>
      </w:r>
      <w:r w:rsidR="00296C2D">
        <w:rPr>
          <w:rFonts w:eastAsia="Gadugi"/>
          <w:lang w:bidi="fr-CA"/>
        </w:rPr>
        <w:t>’</w:t>
      </w:r>
      <w:r w:rsidRPr="008166D7">
        <w:rPr>
          <w:rFonts w:eastAsia="Gadugi"/>
          <w:lang w:bidi="fr-CA"/>
        </w:rPr>
        <w:t>échelle du Nunavut pour les clients résidentiels, commerciaux et de lampadaires soient mis en œuvre sous réserve des recommandations du CETES visant à créer de nouvelles classes tarifaires pour le client percepteur de taxes municipales et le client non percepteur de taxes municipales, et à augmenter la prime de puissance et les tarifs des clients. Le CETES abordera chacun des changements recommandés dans les sections qui suivent.</w:t>
      </w:r>
    </w:p>
    <w:p w14:paraId="7262C98A" w14:textId="77777777" w:rsidR="007E5103" w:rsidRPr="008166D7" w:rsidRDefault="00813998" w:rsidP="003F6BC6">
      <w:pPr>
        <w:pStyle w:val="Heading3URRC"/>
        <w:rPr>
          <w:rFonts w:ascii="Times New Roman" w:hAnsi="Times New Roman"/>
        </w:rPr>
      </w:pPr>
      <w:r w:rsidRPr="008166D7">
        <w:rPr>
          <w:rFonts w:ascii="Times New Roman" w:eastAsia="Gadugi" w:hAnsi="Times New Roman"/>
          <w:lang w:bidi="fr-CA"/>
        </w:rPr>
        <w:t>PRIME DE PUISSANCE ET TARIFS DES CLIENTS</w:t>
      </w:r>
    </w:p>
    <w:p w14:paraId="7262C98B" w14:textId="77777777" w:rsidR="00C450EE" w:rsidRPr="008166D7" w:rsidRDefault="00813998" w:rsidP="001A4F3B">
      <w:pPr>
        <w:pStyle w:val="Corpsdetexte"/>
        <w:ind w:hanging="530"/>
        <w:rPr>
          <w:lang w:val="fr-FR"/>
        </w:rPr>
      </w:pPr>
      <w:r w:rsidRPr="008166D7">
        <w:rPr>
          <w:rFonts w:eastAsia="Gadugi"/>
          <w:lang w:bidi="fr-CA"/>
        </w:rPr>
        <w:t>Le CETES indique que deux des objectifs de conception tarifaire de la SÉQ sont les suivants :</w:t>
      </w:r>
    </w:p>
    <w:p w14:paraId="7262C98C" w14:textId="5AADBC98" w:rsidR="00C450EE" w:rsidRPr="008166D7" w:rsidRDefault="00813998" w:rsidP="008573EC">
      <w:pPr>
        <w:pStyle w:val="Corpsdetexte"/>
        <w:numPr>
          <w:ilvl w:val="1"/>
          <w:numId w:val="7"/>
        </w:numPr>
        <w:ind w:left="1440"/>
        <w:rPr>
          <w:lang w:val="fr-FR"/>
        </w:rPr>
      </w:pPr>
      <w:proofErr w:type="gramStart"/>
      <w:r w:rsidRPr="008166D7">
        <w:rPr>
          <w:rFonts w:eastAsia="Gadugi"/>
          <w:lang w:bidi="fr-CA"/>
        </w:rPr>
        <w:t>les</w:t>
      </w:r>
      <w:proofErr w:type="gramEnd"/>
      <w:r w:rsidRPr="008166D7">
        <w:rPr>
          <w:rFonts w:eastAsia="Gadugi"/>
          <w:lang w:bidi="fr-CA"/>
        </w:rPr>
        <w:t xml:space="preserve"> tarifs doivent être fixés de manière à recouvrer les besoins en revenus;</w:t>
      </w:r>
    </w:p>
    <w:p w14:paraId="7262C98D" w14:textId="57E6961A" w:rsidR="002C04B8" w:rsidRPr="008166D7" w:rsidRDefault="00813998" w:rsidP="008573EC">
      <w:pPr>
        <w:pStyle w:val="Corpsdetexte"/>
        <w:numPr>
          <w:ilvl w:val="1"/>
          <w:numId w:val="7"/>
        </w:numPr>
        <w:ind w:left="1440"/>
        <w:rPr>
          <w:lang w:val="fr-FR"/>
        </w:rPr>
      </w:pPr>
      <w:proofErr w:type="gramStart"/>
      <w:r w:rsidRPr="008166D7">
        <w:rPr>
          <w:rFonts w:eastAsia="Gadugi"/>
          <w:lang w:bidi="fr-CA"/>
        </w:rPr>
        <w:t>concentrer</w:t>
      </w:r>
      <w:proofErr w:type="gramEnd"/>
      <w:r w:rsidRPr="008166D7">
        <w:rPr>
          <w:rFonts w:eastAsia="Gadugi"/>
          <w:lang w:bidi="fr-CA"/>
        </w:rPr>
        <w:t xml:space="preserve"> les ajustements tarifaires sur la portion énergétique du tarif; </w:t>
      </w:r>
    </w:p>
    <w:p w14:paraId="7262C98E" w14:textId="5BC4AE5C" w:rsidR="009F37A0" w:rsidRPr="008166D7" w:rsidRDefault="00813998" w:rsidP="001A4F3B">
      <w:pPr>
        <w:pStyle w:val="Corpsdetexte"/>
        <w:ind w:hanging="530"/>
        <w:rPr>
          <w:lang w:val="fr-FR"/>
        </w:rPr>
      </w:pPr>
      <w:r w:rsidRPr="008166D7">
        <w:rPr>
          <w:rFonts w:eastAsia="Gadugi"/>
          <w:lang w:bidi="fr-CA"/>
        </w:rPr>
        <w:t>Le CETES a quelques inquiétudes quant à l</w:t>
      </w:r>
      <w:r w:rsidR="00296C2D">
        <w:rPr>
          <w:rFonts w:eastAsia="Gadugi"/>
          <w:lang w:bidi="fr-CA"/>
        </w:rPr>
        <w:t>’</w:t>
      </w:r>
      <w:r w:rsidRPr="008166D7">
        <w:rPr>
          <w:rFonts w:eastAsia="Gadugi"/>
          <w:lang w:bidi="fr-CA"/>
        </w:rPr>
        <w:t>objectif de la SÉQ de concentrer les ajustements tarifaires uniquement sur la portion énergétique du tarif. Le CETES indique, à partir des tableaux 7.1 et 7.2 de la demande, qu</w:t>
      </w:r>
      <w:r w:rsidR="00296C2D">
        <w:rPr>
          <w:rFonts w:eastAsia="Gadugi"/>
          <w:lang w:bidi="fr-CA"/>
        </w:rPr>
        <w:t>’</w:t>
      </w:r>
      <w:r w:rsidRPr="008166D7">
        <w:rPr>
          <w:rFonts w:eastAsia="Gadugi"/>
          <w:lang w:bidi="fr-CA"/>
        </w:rPr>
        <w:t>il existe un écart important entre la prime de puissance et les tarifs des clients existants ainsi que le co</w:t>
      </w:r>
      <w:r w:rsidR="008166D7">
        <w:rPr>
          <w:rFonts w:eastAsia="Gadugi"/>
          <w:lang w:bidi="fr-CA"/>
        </w:rPr>
        <w:t>u</w:t>
      </w:r>
      <w:r w:rsidRPr="008166D7">
        <w:rPr>
          <w:rFonts w:eastAsia="Gadugi"/>
          <w:lang w:bidi="fr-CA"/>
        </w:rPr>
        <w:t>t unitaire moyen tel que déterminé par l</w:t>
      </w:r>
      <w:r w:rsidR="00296C2D">
        <w:rPr>
          <w:rFonts w:eastAsia="Gadugi"/>
          <w:lang w:bidi="fr-CA"/>
        </w:rPr>
        <w:t>’</w:t>
      </w:r>
      <w:r w:rsidRPr="008166D7">
        <w:rPr>
          <w:rFonts w:eastAsia="Gadugi"/>
          <w:lang w:bidi="fr-CA"/>
        </w:rPr>
        <w:t>étude sur le co</w:t>
      </w:r>
      <w:r w:rsidR="008166D7">
        <w:rPr>
          <w:rFonts w:eastAsia="Gadugi"/>
          <w:lang w:bidi="fr-CA"/>
        </w:rPr>
        <w:t>u</w:t>
      </w:r>
      <w:r w:rsidRPr="008166D7">
        <w:rPr>
          <w:rFonts w:eastAsia="Gadugi"/>
          <w:lang w:bidi="fr-CA"/>
        </w:rPr>
        <w:t>t du service. Le CETES a demandé à la SÉQ dans la DI URRC-QEC-2-8 d</w:t>
      </w:r>
      <w:r w:rsidR="00296C2D">
        <w:rPr>
          <w:rFonts w:eastAsia="Gadugi"/>
          <w:lang w:bidi="fr-CA"/>
        </w:rPr>
        <w:t>’</w:t>
      </w:r>
      <w:r w:rsidRPr="008166D7">
        <w:rPr>
          <w:rFonts w:eastAsia="Gadugi"/>
          <w:lang w:bidi="fr-CA"/>
        </w:rPr>
        <w:t>estimer l</w:t>
      </w:r>
      <w:r w:rsidR="00296C2D">
        <w:rPr>
          <w:rFonts w:eastAsia="Gadugi"/>
          <w:lang w:bidi="fr-CA"/>
        </w:rPr>
        <w:t>’</w:t>
      </w:r>
      <w:r w:rsidRPr="008166D7">
        <w:rPr>
          <w:rFonts w:eastAsia="Gadugi"/>
          <w:lang w:bidi="fr-CA"/>
        </w:rPr>
        <w:t>effet sur le tarif d</w:t>
      </w:r>
      <w:r w:rsidR="00296C2D">
        <w:rPr>
          <w:rFonts w:eastAsia="Gadugi"/>
          <w:lang w:bidi="fr-CA"/>
        </w:rPr>
        <w:t>’</w:t>
      </w:r>
      <w:r w:rsidRPr="008166D7">
        <w:rPr>
          <w:rFonts w:eastAsia="Gadugi"/>
          <w:lang w:bidi="fr-CA"/>
        </w:rPr>
        <w:t>électricité si la SÉQ commençait à augmenter le ratio de la couverture du co</w:t>
      </w:r>
      <w:r w:rsidR="008166D7">
        <w:rPr>
          <w:rFonts w:eastAsia="Gadugi"/>
          <w:lang w:bidi="fr-CA"/>
        </w:rPr>
        <w:t>u</w:t>
      </w:r>
      <w:r w:rsidRPr="008166D7">
        <w:rPr>
          <w:rFonts w:eastAsia="Gadugi"/>
          <w:lang w:bidi="fr-CA"/>
        </w:rPr>
        <w:t>t des recettes pour les charges fixes. Le CETES a demandé à la SÉQ d</w:t>
      </w:r>
      <w:r w:rsidR="00296C2D">
        <w:rPr>
          <w:rFonts w:eastAsia="Gadugi"/>
          <w:lang w:bidi="fr-CA"/>
        </w:rPr>
        <w:t>’</w:t>
      </w:r>
      <w:r w:rsidRPr="008166D7">
        <w:rPr>
          <w:rFonts w:eastAsia="Gadugi"/>
          <w:lang w:bidi="fr-CA"/>
        </w:rPr>
        <w:t>estimer les effets de faire un tiers ou un quart du chemin vers une couverture complète du co</w:t>
      </w:r>
      <w:r w:rsidR="008166D7">
        <w:rPr>
          <w:rFonts w:eastAsia="Gadugi"/>
          <w:lang w:bidi="fr-CA"/>
        </w:rPr>
        <w:t>u</w:t>
      </w:r>
      <w:r w:rsidRPr="008166D7">
        <w:rPr>
          <w:rFonts w:eastAsia="Gadugi"/>
          <w:lang w:bidi="fr-CA"/>
        </w:rPr>
        <w:t>t des recettes.</w:t>
      </w:r>
    </w:p>
    <w:p w14:paraId="7262C98F" w14:textId="114A2E4A" w:rsidR="00DF2802" w:rsidRPr="008166D7" w:rsidRDefault="00813998" w:rsidP="001A4F3B">
      <w:pPr>
        <w:pStyle w:val="Corpsdetexte"/>
        <w:ind w:hanging="530"/>
        <w:rPr>
          <w:lang w:val="fr-FR"/>
        </w:rPr>
      </w:pPr>
      <w:r w:rsidRPr="008166D7">
        <w:rPr>
          <w:rFonts w:eastAsia="Gadugi"/>
          <w:lang w:bidi="fr-CA"/>
        </w:rPr>
        <w:t>La SÉQ a fourni les informations demandées, ainsi que les effets de la transition vers une couverture complète du co</w:t>
      </w:r>
      <w:r w:rsidR="008166D7">
        <w:rPr>
          <w:rFonts w:eastAsia="Gadugi"/>
          <w:lang w:bidi="fr-CA"/>
        </w:rPr>
        <w:t>u</w:t>
      </w:r>
      <w:r w:rsidRPr="008166D7">
        <w:rPr>
          <w:rFonts w:eastAsia="Gadugi"/>
          <w:lang w:bidi="fr-CA"/>
        </w:rPr>
        <w:t>t des recettes. Le CETES indique, d</w:t>
      </w:r>
      <w:r w:rsidR="00296C2D">
        <w:rPr>
          <w:rFonts w:eastAsia="Gadugi"/>
          <w:lang w:bidi="fr-CA"/>
        </w:rPr>
        <w:t>’</w:t>
      </w:r>
      <w:r w:rsidRPr="008166D7">
        <w:rPr>
          <w:rFonts w:eastAsia="Gadugi"/>
          <w:lang w:bidi="fr-CA"/>
        </w:rPr>
        <w:t>après les informations fournies, qu</w:t>
      </w:r>
      <w:r w:rsidR="00296C2D">
        <w:rPr>
          <w:rFonts w:eastAsia="Gadugi"/>
          <w:lang w:bidi="fr-CA"/>
        </w:rPr>
        <w:t>’</w:t>
      </w:r>
      <w:r w:rsidRPr="008166D7">
        <w:rPr>
          <w:rFonts w:eastAsia="Gadugi"/>
          <w:lang w:bidi="fr-CA"/>
        </w:rPr>
        <w:t xml:space="preserve">à mesure que la portion fixe du tarif augmente, la portion </w:t>
      </w:r>
      <w:r w:rsidRPr="008166D7">
        <w:rPr>
          <w:rFonts w:eastAsia="Gadugi"/>
          <w:lang w:bidi="fr-CA"/>
        </w:rPr>
        <w:lastRenderedPageBreak/>
        <w:t>énergétique diminue, ce qui permet aux clients de ne pas être «</w:t>
      </w:r>
      <w:r w:rsidR="00296C2D">
        <w:rPr>
          <w:rFonts w:eastAsia="Gadugi"/>
          <w:lang w:bidi="fr-CA"/>
        </w:rPr>
        <w:t> </w:t>
      </w:r>
      <w:r w:rsidRPr="008166D7">
        <w:rPr>
          <w:rFonts w:eastAsia="Gadugi"/>
          <w:lang w:bidi="fr-CA"/>
        </w:rPr>
        <w:t>étouffés</w:t>
      </w:r>
      <w:r w:rsidR="00296C2D">
        <w:rPr>
          <w:rFonts w:eastAsia="Gadugi"/>
          <w:lang w:bidi="fr-CA"/>
        </w:rPr>
        <w:t> </w:t>
      </w:r>
      <w:r w:rsidRPr="008166D7">
        <w:rPr>
          <w:rFonts w:eastAsia="Gadugi"/>
          <w:lang w:bidi="fr-CA"/>
        </w:rPr>
        <w:t>» Le CETES comprend que l</w:t>
      </w:r>
      <w:r w:rsidR="00296C2D">
        <w:rPr>
          <w:rFonts w:eastAsia="Gadugi"/>
          <w:lang w:bidi="fr-CA"/>
        </w:rPr>
        <w:t>’</w:t>
      </w:r>
      <w:r w:rsidRPr="008166D7">
        <w:rPr>
          <w:rFonts w:eastAsia="Gadugi"/>
          <w:lang w:bidi="fr-CA"/>
        </w:rPr>
        <w:t>effet réel des changements de tarifs peut avoir des effets différents sur les clients, car ce ne sont pas tous les clients qui utilisent la consommation mensuelle présumée de 1 000 kW pour les clients résidentiels et de 2 000 kW pour les clients commerciaux.</w:t>
      </w:r>
    </w:p>
    <w:p w14:paraId="7262C990" w14:textId="251C88C5" w:rsidR="006E42A3" w:rsidRPr="008166D7" w:rsidRDefault="00813998" w:rsidP="001A4F3B">
      <w:pPr>
        <w:pStyle w:val="Corpsdetexte"/>
        <w:ind w:hanging="530"/>
        <w:rPr>
          <w:lang w:val="fr-FR"/>
        </w:rPr>
      </w:pPr>
      <w:r w:rsidRPr="008166D7">
        <w:rPr>
          <w:rFonts w:eastAsia="Gadugi"/>
          <w:lang w:bidi="fr-CA"/>
        </w:rPr>
        <w:t>Le CETES note, d</w:t>
      </w:r>
      <w:r w:rsidR="00296C2D">
        <w:rPr>
          <w:rFonts w:eastAsia="Gadugi"/>
          <w:lang w:bidi="fr-CA"/>
        </w:rPr>
        <w:t>’</w:t>
      </w:r>
      <w:r w:rsidRPr="008166D7">
        <w:rPr>
          <w:rFonts w:eastAsia="Gadugi"/>
          <w:lang w:bidi="fr-CA"/>
        </w:rPr>
        <w:t>après les réponses aux DI URRC-QEC-1-24, URRC-QEC-1-25 et URRC-QEC-2-8, que la SÉQ est réticente à modifier la prime de puissance et les tarifs des clients. La SÉQ soutient que la prime de puissance et les tarifs des clients sont déjà uniformisés dans l</w:t>
      </w:r>
      <w:r w:rsidR="00296C2D">
        <w:rPr>
          <w:rFonts w:eastAsia="Gadugi"/>
          <w:lang w:bidi="fr-CA"/>
        </w:rPr>
        <w:t>’</w:t>
      </w:r>
      <w:r w:rsidRPr="008166D7">
        <w:rPr>
          <w:rFonts w:eastAsia="Gadugi"/>
          <w:lang w:bidi="fr-CA"/>
        </w:rPr>
        <w:t>ensemble du territoire. La SÉQ a indiqué qu</w:t>
      </w:r>
      <w:r w:rsidR="00296C2D">
        <w:rPr>
          <w:rFonts w:eastAsia="Gadugi"/>
          <w:lang w:bidi="fr-CA"/>
        </w:rPr>
        <w:t>’</w:t>
      </w:r>
      <w:r w:rsidRPr="008166D7">
        <w:rPr>
          <w:rFonts w:eastAsia="Gadugi"/>
          <w:lang w:bidi="fr-CA"/>
        </w:rPr>
        <w:t>une augmentation de la prime de puissance et des tarifs des clients est une initiative importante et qu</w:t>
      </w:r>
      <w:r w:rsidR="00296C2D">
        <w:rPr>
          <w:rFonts w:eastAsia="Gadugi"/>
          <w:lang w:bidi="fr-CA"/>
        </w:rPr>
        <w:t>’</w:t>
      </w:r>
      <w:r w:rsidRPr="008166D7">
        <w:rPr>
          <w:rFonts w:eastAsia="Gadugi"/>
          <w:lang w:bidi="fr-CA"/>
        </w:rPr>
        <w:t>elle ajoute à la complexité du défi pour les clients. La SÉQ a également indiqué qu</w:t>
      </w:r>
      <w:r w:rsidR="00296C2D">
        <w:rPr>
          <w:rFonts w:eastAsia="Gadugi"/>
          <w:lang w:bidi="fr-CA"/>
        </w:rPr>
        <w:t>’</w:t>
      </w:r>
      <w:r w:rsidRPr="008166D7">
        <w:rPr>
          <w:rFonts w:eastAsia="Gadugi"/>
          <w:lang w:bidi="fr-CA"/>
        </w:rPr>
        <w:t>une transition vers une couverture complète du co</w:t>
      </w:r>
      <w:r w:rsidR="008166D7">
        <w:rPr>
          <w:rFonts w:eastAsia="Gadugi"/>
          <w:lang w:bidi="fr-CA"/>
        </w:rPr>
        <w:t>u</w:t>
      </w:r>
      <w:r w:rsidRPr="008166D7">
        <w:rPr>
          <w:rFonts w:eastAsia="Gadugi"/>
          <w:lang w:bidi="fr-CA"/>
        </w:rPr>
        <w:t>t des recettes créerait un choc tarifaire important pour les clients dont la consommation est faible. La SÉQ a fourni une estimation de l</w:t>
      </w:r>
      <w:r w:rsidR="00296C2D">
        <w:rPr>
          <w:rFonts w:eastAsia="Gadugi"/>
          <w:lang w:bidi="fr-CA"/>
        </w:rPr>
        <w:t>’</w:t>
      </w:r>
      <w:r w:rsidRPr="008166D7">
        <w:rPr>
          <w:rFonts w:eastAsia="Gadugi"/>
          <w:lang w:bidi="fr-CA"/>
        </w:rPr>
        <w:t>augmentation de la facture que pourrait subir un client commercial non gouvernemental de Cambridge Bay dont la consommation mensuelle est de 300 kW. L</w:t>
      </w:r>
      <w:r w:rsidR="00296C2D">
        <w:rPr>
          <w:rFonts w:eastAsia="Gadugi"/>
          <w:lang w:bidi="fr-CA"/>
        </w:rPr>
        <w:t>’</w:t>
      </w:r>
      <w:r w:rsidRPr="008166D7">
        <w:rPr>
          <w:rFonts w:eastAsia="Gadugi"/>
          <w:lang w:bidi="fr-CA"/>
        </w:rPr>
        <w:t>estimation a montré les effets de faire un tiers ou un quart du chemin vers une couverture complète du co</w:t>
      </w:r>
      <w:r w:rsidR="008166D7">
        <w:rPr>
          <w:rFonts w:eastAsia="Gadugi"/>
          <w:lang w:bidi="fr-CA"/>
        </w:rPr>
        <w:t>u</w:t>
      </w:r>
      <w:r w:rsidRPr="008166D7">
        <w:rPr>
          <w:rFonts w:eastAsia="Gadugi"/>
          <w:lang w:bidi="fr-CA"/>
        </w:rPr>
        <w:t>t des recettes.</w:t>
      </w:r>
    </w:p>
    <w:p w14:paraId="7262C991" w14:textId="036DC008" w:rsidR="00EE4516" w:rsidRPr="008166D7" w:rsidRDefault="00813998" w:rsidP="001A4F3B">
      <w:pPr>
        <w:pStyle w:val="Corpsdetexte"/>
        <w:ind w:hanging="530"/>
        <w:rPr>
          <w:lang w:val="fr-FR"/>
        </w:rPr>
      </w:pPr>
      <w:r w:rsidRPr="008166D7">
        <w:rPr>
          <w:rFonts w:eastAsia="Gadugi"/>
          <w:lang w:bidi="fr-CA"/>
        </w:rPr>
        <w:t>Le CETES n</w:t>
      </w:r>
      <w:r w:rsidR="00296C2D">
        <w:rPr>
          <w:rFonts w:eastAsia="Gadugi"/>
          <w:lang w:bidi="fr-CA"/>
        </w:rPr>
        <w:t>’</w:t>
      </w:r>
      <w:r w:rsidRPr="008166D7">
        <w:rPr>
          <w:rFonts w:eastAsia="Gadugi"/>
          <w:lang w:bidi="fr-CA"/>
        </w:rPr>
        <w:t>est pas convaincu que l</w:t>
      </w:r>
      <w:r w:rsidR="00296C2D">
        <w:rPr>
          <w:rFonts w:eastAsia="Gadugi"/>
          <w:lang w:bidi="fr-CA"/>
        </w:rPr>
        <w:t>’</w:t>
      </w:r>
      <w:r w:rsidRPr="008166D7">
        <w:rPr>
          <w:rFonts w:eastAsia="Gadugi"/>
          <w:lang w:bidi="fr-CA"/>
        </w:rPr>
        <w:t>impact potentiel sur la facturation d</w:t>
      </w:r>
      <w:r w:rsidR="00296C2D">
        <w:rPr>
          <w:rFonts w:eastAsia="Gadugi"/>
          <w:lang w:bidi="fr-CA"/>
        </w:rPr>
        <w:t>’</w:t>
      </w:r>
      <w:r w:rsidRPr="008166D7">
        <w:rPr>
          <w:rFonts w:eastAsia="Gadugi"/>
          <w:lang w:bidi="fr-CA"/>
        </w:rPr>
        <w:t>un client dont la consommation est très faible, tel que décrit dans l</w:t>
      </w:r>
      <w:r w:rsidR="00296C2D">
        <w:rPr>
          <w:rFonts w:eastAsia="Gadugi"/>
          <w:lang w:bidi="fr-CA"/>
        </w:rPr>
        <w:t>’</w:t>
      </w:r>
      <w:r w:rsidRPr="008166D7">
        <w:rPr>
          <w:rFonts w:eastAsia="Gadugi"/>
          <w:lang w:bidi="fr-CA"/>
        </w:rPr>
        <w:t>exemple de la SÉQ, est une raison suffisante pour ne pas commencer à évoluer vers une couverture plus élevée du co</w:t>
      </w:r>
      <w:r w:rsidR="008166D7">
        <w:rPr>
          <w:rFonts w:eastAsia="Gadugi"/>
          <w:lang w:bidi="fr-CA"/>
        </w:rPr>
        <w:t>u</w:t>
      </w:r>
      <w:r w:rsidRPr="008166D7">
        <w:rPr>
          <w:rFonts w:eastAsia="Gadugi"/>
          <w:lang w:bidi="fr-CA"/>
        </w:rPr>
        <w:t>t des recettes en ce qui concerne la prime de puissance et les tarifs des clients. Le CETES n</w:t>
      </w:r>
      <w:r w:rsidR="00296C2D">
        <w:rPr>
          <w:rFonts w:eastAsia="Gadugi"/>
          <w:lang w:bidi="fr-CA"/>
        </w:rPr>
        <w:t>’</w:t>
      </w:r>
      <w:r w:rsidRPr="008166D7">
        <w:rPr>
          <w:rFonts w:eastAsia="Gadugi"/>
          <w:lang w:bidi="fr-CA"/>
        </w:rPr>
        <w:t>est pas non plus d</w:t>
      </w:r>
      <w:r w:rsidR="00296C2D">
        <w:rPr>
          <w:rFonts w:eastAsia="Gadugi"/>
          <w:lang w:bidi="fr-CA"/>
        </w:rPr>
        <w:t>’</w:t>
      </w:r>
      <w:r w:rsidRPr="008166D7">
        <w:rPr>
          <w:rFonts w:eastAsia="Gadugi"/>
          <w:lang w:bidi="fr-CA"/>
        </w:rPr>
        <w:t>accord avec le fait qu</w:t>
      </w:r>
      <w:r w:rsidR="00296C2D">
        <w:rPr>
          <w:rFonts w:eastAsia="Gadugi"/>
          <w:lang w:bidi="fr-CA"/>
        </w:rPr>
        <w:t>’</w:t>
      </w:r>
      <w:r w:rsidRPr="008166D7">
        <w:rPr>
          <w:rFonts w:eastAsia="Gadugi"/>
          <w:lang w:bidi="fr-CA"/>
        </w:rPr>
        <w:t>il s</w:t>
      </w:r>
      <w:r w:rsidR="00296C2D">
        <w:rPr>
          <w:rFonts w:eastAsia="Gadugi"/>
          <w:lang w:bidi="fr-CA"/>
        </w:rPr>
        <w:t>’</w:t>
      </w:r>
      <w:r w:rsidRPr="008166D7">
        <w:rPr>
          <w:rFonts w:eastAsia="Gadugi"/>
          <w:lang w:bidi="fr-CA"/>
        </w:rPr>
        <w:t>agisse d</w:t>
      </w:r>
      <w:r w:rsidR="00296C2D">
        <w:rPr>
          <w:rFonts w:eastAsia="Gadugi"/>
          <w:lang w:bidi="fr-CA"/>
        </w:rPr>
        <w:t>’</w:t>
      </w:r>
      <w:r w:rsidRPr="008166D7">
        <w:rPr>
          <w:rFonts w:eastAsia="Gadugi"/>
          <w:lang w:bidi="fr-CA"/>
        </w:rPr>
        <w:t>un changement complexe pour les clients. Les clients verraient une partie de leur facture augmenter, tandis qu</w:t>
      </w:r>
      <w:r w:rsidR="00296C2D">
        <w:rPr>
          <w:rFonts w:eastAsia="Gadugi"/>
          <w:lang w:bidi="fr-CA"/>
        </w:rPr>
        <w:t>’</w:t>
      </w:r>
      <w:r w:rsidRPr="008166D7">
        <w:rPr>
          <w:rFonts w:eastAsia="Gadugi"/>
          <w:lang w:bidi="fr-CA"/>
        </w:rPr>
        <w:t>une autre partie diminuerait. En fait, cela devrait se traduire par une facture mensuelle plus stable pour les clients tout au long de l</w:t>
      </w:r>
      <w:r w:rsidR="00296C2D">
        <w:rPr>
          <w:rFonts w:eastAsia="Gadugi"/>
          <w:lang w:bidi="fr-CA"/>
        </w:rPr>
        <w:t>’</w:t>
      </w:r>
      <w:r w:rsidRPr="008166D7">
        <w:rPr>
          <w:rFonts w:eastAsia="Gadugi"/>
          <w:lang w:bidi="fr-CA"/>
        </w:rPr>
        <w:t>année, car il y aurait moins de volatilité causée par les changements dans la consommation d</w:t>
      </w:r>
      <w:r w:rsidR="00296C2D">
        <w:rPr>
          <w:rFonts w:eastAsia="Gadugi"/>
          <w:lang w:bidi="fr-CA"/>
        </w:rPr>
        <w:t>’</w:t>
      </w:r>
      <w:r w:rsidRPr="008166D7">
        <w:rPr>
          <w:rFonts w:eastAsia="Gadugi"/>
          <w:lang w:bidi="fr-CA"/>
        </w:rPr>
        <w:t>électricité. Le CETES indique également que l</w:t>
      </w:r>
      <w:r w:rsidR="00296C2D">
        <w:rPr>
          <w:rFonts w:eastAsia="Gadugi"/>
          <w:lang w:bidi="fr-CA"/>
        </w:rPr>
        <w:t>’</w:t>
      </w:r>
      <w:r w:rsidRPr="008166D7">
        <w:rPr>
          <w:rFonts w:eastAsia="Gadugi"/>
          <w:lang w:bidi="fr-CA"/>
        </w:rPr>
        <w:t xml:space="preserve">augmentation de la prime de puissance et des tarifs des clients réduirait également la volatilité des revenus mensuels de la SÉQ. Le CETES estime que le risque de volatilité posé à la SÉQ et/ou le risque de recouvrement excessif ou insuffisant de ses </w:t>
      </w:r>
      <w:r w:rsidRPr="008166D7">
        <w:rPr>
          <w:rFonts w:eastAsia="Gadugi"/>
          <w:lang w:bidi="fr-CA"/>
        </w:rPr>
        <w:lastRenderedPageBreak/>
        <w:t>besoins en revenus seraient réduits en augmentant la prime de puissance et les tarifs des clients.</w:t>
      </w:r>
    </w:p>
    <w:p w14:paraId="7262C992" w14:textId="60526732" w:rsidR="005F1A65" w:rsidRPr="008166D7" w:rsidRDefault="00813998" w:rsidP="001A4F3B">
      <w:pPr>
        <w:pStyle w:val="Corpsdetexte"/>
        <w:ind w:hanging="530"/>
        <w:rPr>
          <w:lang w:val="fr-FR"/>
        </w:rPr>
      </w:pPr>
      <w:r w:rsidRPr="008166D7">
        <w:rPr>
          <w:rFonts w:eastAsia="Gadugi"/>
          <w:lang w:bidi="fr-CA"/>
        </w:rPr>
        <w:t>Le CETES ne comprend pas non plus pourquoi la modification de la prime de puissance et des tarifs des clients, qui sont déjà uniformisés dans tout le territoire, est une initiative importante pour la SÉQ. Il serait utile que la SÉQ puisse expliquer cela davantage au ministre responsable et au CETES dans la prochaine RMTG.</w:t>
      </w:r>
    </w:p>
    <w:p w14:paraId="7262C993" w14:textId="06EE30A8" w:rsidR="0019501E" w:rsidRPr="008166D7" w:rsidRDefault="00813998" w:rsidP="001A4F3B">
      <w:pPr>
        <w:pStyle w:val="Corpsdetexte"/>
        <w:ind w:hanging="530"/>
        <w:rPr>
          <w:lang w:val="fr-FR"/>
        </w:rPr>
      </w:pPr>
      <w:r w:rsidRPr="008166D7">
        <w:rPr>
          <w:rFonts w:eastAsia="Gadugi"/>
          <w:lang w:bidi="fr-CA"/>
        </w:rPr>
        <w:t>Le CETES indique que les clients non gouvernementaux de la plupart des collectivités verront leurs factures réduites grâce à la transition vers des tarifs d</w:t>
      </w:r>
      <w:r w:rsidR="00296C2D">
        <w:rPr>
          <w:rFonts w:eastAsia="Gadugi"/>
          <w:lang w:bidi="fr-CA"/>
        </w:rPr>
        <w:t>’</w:t>
      </w:r>
      <w:r w:rsidRPr="008166D7">
        <w:rPr>
          <w:rFonts w:eastAsia="Gadugi"/>
          <w:lang w:bidi="fr-CA"/>
        </w:rPr>
        <w:t>électricité applicables à l</w:t>
      </w:r>
      <w:r w:rsidR="00296C2D">
        <w:rPr>
          <w:rFonts w:eastAsia="Gadugi"/>
          <w:lang w:bidi="fr-CA"/>
        </w:rPr>
        <w:t>’</w:t>
      </w:r>
      <w:r w:rsidRPr="008166D7">
        <w:rPr>
          <w:rFonts w:eastAsia="Gadugi"/>
          <w:lang w:bidi="fr-CA"/>
        </w:rPr>
        <w:t>échelle du Nunavut. Le CETES estime que ce serait le bon moment pour augmenter la partie fixe de leur facture mensuelle d</w:t>
      </w:r>
      <w:r w:rsidR="00296C2D">
        <w:rPr>
          <w:rFonts w:eastAsia="Gadugi"/>
          <w:lang w:bidi="fr-CA"/>
        </w:rPr>
        <w:t>’</w:t>
      </w:r>
      <w:r w:rsidRPr="008166D7">
        <w:rPr>
          <w:rFonts w:eastAsia="Gadugi"/>
          <w:lang w:bidi="fr-CA"/>
        </w:rPr>
        <w:t>électricité.</w:t>
      </w:r>
    </w:p>
    <w:p w14:paraId="7262C994" w14:textId="2B53E2C3" w:rsidR="006036AD" w:rsidRPr="008166D7" w:rsidRDefault="00813998" w:rsidP="001A4F3B">
      <w:pPr>
        <w:pStyle w:val="Corpsdetexte"/>
        <w:ind w:hanging="530"/>
        <w:rPr>
          <w:lang w:val="fr-FR"/>
        </w:rPr>
      </w:pPr>
      <w:r w:rsidRPr="008166D7">
        <w:rPr>
          <w:rFonts w:eastAsia="Gadugi"/>
          <w:lang w:bidi="fr-CA"/>
        </w:rPr>
        <w:t>Le CETES estime que si les clients dont la consommation est faible sont ind</w:t>
      </w:r>
      <w:r w:rsidR="00296C2D">
        <w:rPr>
          <w:rFonts w:eastAsia="Gadugi"/>
          <w:lang w:bidi="fr-CA"/>
        </w:rPr>
        <w:t>u</w:t>
      </w:r>
      <w:r w:rsidRPr="008166D7">
        <w:rPr>
          <w:rFonts w:eastAsia="Gadugi"/>
          <w:lang w:bidi="fr-CA"/>
        </w:rPr>
        <w:t>ment touchés par les augmentations de la prime de puissance et des tarifs, il existe peut-être d</w:t>
      </w:r>
      <w:r w:rsidR="00296C2D">
        <w:rPr>
          <w:rFonts w:eastAsia="Gadugi"/>
          <w:lang w:bidi="fr-CA"/>
        </w:rPr>
        <w:t>’</w:t>
      </w:r>
      <w:r w:rsidRPr="008166D7">
        <w:rPr>
          <w:rFonts w:eastAsia="Gadugi"/>
          <w:lang w:bidi="fr-CA"/>
        </w:rPr>
        <w:t>autres moyens pour la SÉQ (ou éventuellement le GN, à sa discrétion) d</w:t>
      </w:r>
      <w:r w:rsidR="00296C2D">
        <w:rPr>
          <w:rFonts w:eastAsia="Gadugi"/>
          <w:lang w:bidi="fr-CA"/>
        </w:rPr>
        <w:t>’</w:t>
      </w:r>
      <w:r w:rsidRPr="008166D7">
        <w:rPr>
          <w:rFonts w:eastAsia="Gadugi"/>
          <w:lang w:bidi="fr-CA"/>
        </w:rPr>
        <w:t>atténuer ces effets. Le CETES indique que les immobilisations mises en place pour desservir toute catégorie de clients devraient être attribuées et recouvertes auprès de chacun de ces clients qui bénéficient de l</w:t>
      </w:r>
      <w:r w:rsidR="00296C2D">
        <w:rPr>
          <w:rFonts w:eastAsia="Gadugi"/>
          <w:lang w:bidi="fr-CA"/>
        </w:rPr>
        <w:t>’</w:t>
      </w:r>
      <w:r w:rsidRPr="008166D7">
        <w:rPr>
          <w:rFonts w:eastAsia="Gadugi"/>
          <w:lang w:bidi="fr-CA"/>
        </w:rPr>
        <w:t>accès au système. La SÉQ pourrait envisager d</w:t>
      </w:r>
      <w:r w:rsidR="00296C2D">
        <w:rPr>
          <w:rFonts w:eastAsia="Gadugi"/>
          <w:lang w:bidi="fr-CA"/>
        </w:rPr>
        <w:t>’</w:t>
      </w:r>
      <w:r w:rsidRPr="008166D7">
        <w:rPr>
          <w:rFonts w:eastAsia="Gadugi"/>
          <w:lang w:bidi="fr-CA"/>
        </w:rPr>
        <w:t>ajouter des classes tarifaires, si la différence de consommation est si importante entre les classes tarifaires résidentielles et commerciales existantes. De plus, le GN pourrait revoir le Programme de subvention sur l</w:t>
      </w:r>
      <w:r w:rsidR="00296C2D">
        <w:rPr>
          <w:rFonts w:eastAsia="Gadugi"/>
          <w:lang w:bidi="fr-CA"/>
        </w:rPr>
        <w:t>’</w:t>
      </w:r>
      <w:r w:rsidRPr="008166D7">
        <w:rPr>
          <w:rFonts w:eastAsia="Gadugi"/>
          <w:lang w:bidi="fr-CA"/>
        </w:rPr>
        <w:t>électricité au Nunavut ou d</w:t>
      </w:r>
      <w:r w:rsidR="00296C2D">
        <w:rPr>
          <w:rFonts w:eastAsia="Gadugi"/>
          <w:lang w:bidi="fr-CA"/>
        </w:rPr>
        <w:t>’</w:t>
      </w:r>
      <w:r w:rsidRPr="008166D7">
        <w:rPr>
          <w:rFonts w:eastAsia="Gadugi"/>
          <w:lang w:bidi="fr-CA"/>
        </w:rPr>
        <w:t>autres subventions, au besoin, pour aider les clients dont la consommation est faible.</w:t>
      </w:r>
    </w:p>
    <w:p w14:paraId="7262C995" w14:textId="6672A817" w:rsidR="0019501E" w:rsidRPr="008166D7" w:rsidRDefault="00813998" w:rsidP="001A4F3B">
      <w:pPr>
        <w:pStyle w:val="Corpsdetexte"/>
        <w:ind w:hanging="530"/>
        <w:rPr>
          <w:lang w:val="fr-FR"/>
        </w:rPr>
      </w:pPr>
      <w:r w:rsidRPr="008166D7">
        <w:rPr>
          <w:rFonts w:eastAsia="Gadugi"/>
          <w:lang w:bidi="fr-CA"/>
        </w:rPr>
        <w:t>Le CETES recommande que la SÉQ fasse au moins un tiers du chemin vers la couverture complète du co</w:t>
      </w:r>
      <w:r w:rsidR="008166D7">
        <w:rPr>
          <w:rFonts w:eastAsia="Gadugi"/>
          <w:lang w:bidi="fr-CA"/>
        </w:rPr>
        <w:t>u</w:t>
      </w:r>
      <w:r w:rsidRPr="008166D7">
        <w:rPr>
          <w:rFonts w:eastAsia="Gadugi"/>
          <w:lang w:bidi="fr-CA"/>
        </w:rPr>
        <w:t xml:space="preserve">t des recettes quant à la prime de puissance et les tarifs des clients. De la même manière que la SÉQ a limité les augmentations pour les clients non gouvernementaux à 5,1 %, le CETES recommande que la SÉQ augmente la prime de puissance et les tarifs des clients de manière à limiter l’impact global sur la facturation à 5,1 % pour les classes tarifaires des clients non gouvernementaux. </w:t>
      </w:r>
    </w:p>
    <w:p w14:paraId="7262C996" w14:textId="6F28CCA6" w:rsidR="007E5103" w:rsidRPr="008166D7" w:rsidRDefault="00813998" w:rsidP="003F6BC6">
      <w:pPr>
        <w:pStyle w:val="Heading3URRC"/>
        <w:rPr>
          <w:rFonts w:ascii="Times New Roman" w:hAnsi="Times New Roman"/>
        </w:rPr>
      </w:pPr>
      <w:r w:rsidRPr="008166D7">
        <w:rPr>
          <w:rFonts w:ascii="Times New Roman" w:eastAsia="Gadugi" w:hAnsi="Times New Roman"/>
          <w:caps w:val="0"/>
          <w:lang w:bidi="fr-CA"/>
        </w:rPr>
        <w:lastRenderedPageBreak/>
        <w:t>VILLE D’IQALUIT</w:t>
      </w:r>
      <w:r w:rsidR="004564B9" w:rsidRPr="008166D7">
        <w:rPr>
          <w:rFonts w:ascii="Times New Roman" w:eastAsia="Gadugi" w:hAnsi="Times New Roman"/>
          <w:lang w:bidi="fr-CA"/>
        </w:rPr>
        <w:t> – TARIF GOUVERNEMENTAL</w:t>
      </w:r>
    </w:p>
    <w:p w14:paraId="7262C997" w14:textId="3E386B15" w:rsidR="00911CBD" w:rsidRPr="008166D7" w:rsidRDefault="00813998" w:rsidP="0031412C">
      <w:pPr>
        <w:pStyle w:val="Corpsdetexte"/>
        <w:ind w:left="1094" w:hanging="547"/>
        <w:rPr>
          <w:lang w:val="fr-FR"/>
        </w:rPr>
      </w:pPr>
      <w:r w:rsidRPr="008166D7">
        <w:rPr>
          <w:rFonts w:eastAsia="Gadugi"/>
          <w:lang w:bidi="fr-CA"/>
        </w:rPr>
        <w:t>Le CETES indique que les effets de la mise en œuvre des tarifs à l’échelle du Nunavut, tels que proposés par la SÉQ, pourraient avoir des répercussions négatives sur la ville d’Iqaluit, comparativement aux autres collectivités. Tel que résumé dans la réponse à la DI URRC-QEC-2-1, la SÉQ a indiqué qu’à l’exception de la ville d’Iqaluit, tous les hameaux financent leur budget de fonctionnement au moyen d’un crédit du GN. La ville d’Iqaluit est la seule collectivité qui finance actuellement la majorité de ses co</w:t>
      </w:r>
      <w:r w:rsidR="00AD7DDC">
        <w:rPr>
          <w:rFonts w:eastAsia="Gadugi"/>
          <w:lang w:bidi="fr-CA"/>
        </w:rPr>
        <w:t>u</w:t>
      </w:r>
      <w:r w:rsidRPr="008166D7">
        <w:rPr>
          <w:rFonts w:eastAsia="Gadugi"/>
          <w:lang w:bidi="fr-CA"/>
        </w:rPr>
        <w:t>ts opérationnels grâce aux recettes fiscales de la collectivité plutôt qu’au financement du GN.</w:t>
      </w:r>
    </w:p>
    <w:p w14:paraId="7262C998" w14:textId="2AA02A76" w:rsidR="00AA4AC0" w:rsidRPr="008166D7" w:rsidRDefault="00813998" w:rsidP="0031412C">
      <w:pPr>
        <w:pStyle w:val="Corpsdetexte"/>
        <w:ind w:left="1094" w:hanging="547"/>
        <w:rPr>
          <w:lang w:val="fr-FR"/>
        </w:rPr>
      </w:pPr>
      <w:r w:rsidRPr="008166D7">
        <w:rPr>
          <w:rFonts w:eastAsia="Gadugi"/>
          <w:lang w:bidi="fr-CA"/>
        </w:rPr>
        <w:t>Le CETES note, d’après la réponse à la DI URRC-QEC-2-1, les soumissions publiques de la ville d’Iqaluit et de la Chambre de commerce d’Iqaluit, et les réponses de la SÉQ à ces soumissions, qu’une option pour traiter l’effet négatif potentiel est de reclasser les comptes de la ville d’Iqaluit en tant que clients non gouvernementaux. La SÉQ a estimé que le reclassement de ces comptes entra</w:t>
      </w:r>
      <w:r w:rsidR="00296C2D">
        <w:rPr>
          <w:rFonts w:eastAsia="Gadugi"/>
          <w:lang w:bidi="fr-CA"/>
        </w:rPr>
        <w:t>i</w:t>
      </w:r>
      <w:r w:rsidRPr="008166D7">
        <w:rPr>
          <w:rFonts w:eastAsia="Gadugi"/>
          <w:lang w:bidi="fr-CA"/>
        </w:rPr>
        <w:t>nerait une réduction des recettes prévues d’environ 0,9 million de dollars, ce qui se traduirait par une augmentation de 0,9 </w:t>
      </w:r>
      <w:proofErr w:type="gramStart"/>
      <w:r w:rsidRPr="008166D7">
        <w:rPr>
          <w:rFonts w:eastAsia="Gadugi"/>
          <w:lang w:bidi="fr-CA"/>
        </w:rPr>
        <w:t>cent</w:t>
      </w:r>
      <w:proofErr w:type="gramEnd"/>
      <w:r w:rsidRPr="008166D7">
        <w:rPr>
          <w:rFonts w:eastAsia="Gadugi"/>
          <w:lang w:bidi="fr-CA"/>
        </w:rPr>
        <w:t xml:space="preserve"> par kWh des tarifs gouvernementaux proposés. La ville d’Iqaluit a estimé que l’augmentation serait de 1,3 million de dollars. </w:t>
      </w:r>
    </w:p>
    <w:p w14:paraId="7262C999" w14:textId="385430A3" w:rsidR="0031412C" w:rsidRPr="008166D7" w:rsidRDefault="00813998" w:rsidP="0031412C">
      <w:pPr>
        <w:pStyle w:val="Corpsdetexte"/>
        <w:ind w:left="1094" w:hanging="547"/>
        <w:rPr>
          <w:lang w:val="fr-FR"/>
        </w:rPr>
      </w:pPr>
      <w:r w:rsidRPr="008166D7">
        <w:rPr>
          <w:rFonts w:eastAsia="Gadugi"/>
          <w:lang w:bidi="fr-CA"/>
        </w:rPr>
        <w:t>Le CETES indique qu’en réponse à la troisième série de DI, la SÉQ a de nouveau indiqué que l’effet net sur la ville d’Iqaluit était d’environ 0,948 million de dollars. La SÉQ a également fourni les taux révisés qui seraient nécessaires pour percevoir ses besoins en revenus. Un examen des taux révisés et des prévisions de recettes de chaque collectivité appuie la thèse selon laquelle les effets sont principalement limités aux taux gouvernementaux, et les effets correspondent à la taille de la collectivité. Ce résultat a été obtenu en comparant l’annexe 3.3 de la troisième série de DI à l’annexe 8.3.3 de la demande.</w:t>
      </w:r>
    </w:p>
    <w:p w14:paraId="7262C99A" w14:textId="22BCFEEA" w:rsidR="00D10E31" w:rsidRPr="008166D7" w:rsidRDefault="00813998" w:rsidP="00D10E31">
      <w:pPr>
        <w:pStyle w:val="Corpsdetexte"/>
        <w:ind w:hanging="530"/>
      </w:pPr>
      <w:r w:rsidRPr="008166D7">
        <w:rPr>
          <w:rFonts w:eastAsia="Gadugi"/>
          <w:lang w:bidi="fr-CA"/>
        </w:rPr>
        <w:t xml:space="preserve">À la lumière de la réponse de la SÉQ à la DI URRC-QEC-2-1, le CETES a demandé des informations complémentaires concernant les tarifs si la SÉQ était autorisée à imposer des tarifs à l’échelle du Nunavut et si la ville d’Iqaluit était considérée comme une entité non gouvernementale. Ce traitement serait similaire à celui des collectivités </w:t>
      </w:r>
      <w:r w:rsidRPr="008166D7">
        <w:rPr>
          <w:rFonts w:eastAsia="Gadugi"/>
          <w:lang w:bidi="fr-CA"/>
        </w:rPr>
        <w:lastRenderedPageBreak/>
        <w:t>qui ont inclus leurs co</w:t>
      </w:r>
      <w:r w:rsidR="00AD7DDC">
        <w:rPr>
          <w:rFonts w:eastAsia="Gadugi"/>
          <w:lang w:bidi="fr-CA"/>
        </w:rPr>
        <w:t>u</w:t>
      </w:r>
      <w:r w:rsidRPr="008166D7">
        <w:rPr>
          <w:rFonts w:eastAsia="Gadugi"/>
          <w:lang w:bidi="fr-CA"/>
        </w:rPr>
        <w:t>ts opérationnels, y compris les co</w:t>
      </w:r>
      <w:r w:rsidR="00AD7DDC">
        <w:rPr>
          <w:rFonts w:eastAsia="Gadugi"/>
          <w:lang w:bidi="fr-CA"/>
        </w:rPr>
        <w:t>u</w:t>
      </w:r>
      <w:r w:rsidRPr="008166D7">
        <w:rPr>
          <w:rFonts w:eastAsia="Gadugi"/>
          <w:lang w:bidi="fr-CA"/>
        </w:rPr>
        <w:t xml:space="preserve">ts d’électricité, dans leurs crédits du GN. Chaque année, les hameaux soumettent leur budget de fonctionnement au GN pour approbation. Ces données ont été demandées dans la DI URRC-QEC-3 après que la question </w:t>
      </w:r>
      <w:proofErr w:type="gramStart"/>
      <w:r w:rsidRPr="008166D7">
        <w:rPr>
          <w:rFonts w:eastAsia="Gadugi"/>
          <w:lang w:bidi="fr-CA"/>
        </w:rPr>
        <w:t>ait</w:t>
      </w:r>
      <w:proofErr w:type="gramEnd"/>
      <w:r w:rsidRPr="008166D7">
        <w:rPr>
          <w:rFonts w:eastAsia="Gadugi"/>
          <w:lang w:bidi="fr-CA"/>
        </w:rPr>
        <w:t xml:space="preserve"> été soulevée pour la première fois lors de la séance d’information communautaire du 30 mai et dans la correspondance de la Chambre de commerce d’Iqaluit du 17 juin et de la ville d’Iqaluit du 28 juin.</w:t>
      </w:r>
    </w:p>
    <w:p w14:paraId="7262C99B" w14:textId="63829A65" w:rsidR="00D10E31" w:rsidRPr="008166D7" w:rsidRDefault="00813998" w:rsidP="00D10E31">
      <w:pPr>
        <w:pStyle w:val="Corpsdetexte"/>
        <w:ind w:hanging="530"/>
      </w:pPr>
      <w:r w:rsidRPr="008166D7">
        <w:rPr>
          <w:rFonts w:eastAsia="Gadugi"/>
          <w:lang w:bidi="fr-CA"/>
        </w:rPr>
        <w:t>De plus, dans une lettre datée du 4 juillet 2022, adressée à la Chambre de commerce d’Iqaluit, le ministre responsable de la SÉQ a reconnu que la SÉQ était favorable à la reclassification des comptes de la ville d’Iqaluit dans la catégorie des clients non gouvernementaux.</w:t>
      </w:r>
    </w:p>
    <w:p w14:paraId="7262C99C" w14:textId="419ADC20" w:rsidR="00D10E31" w:rsidRPr="008166D7" w:rsidRDefault="00813998" w:rsidP="00D10E31">
      <w:pPr>
        <w:pStyle w:val="Corpsdetexte"/>
        <w:ind w:hanging="530"/>
      </w:pPr>
      <w:r w:rsidRPr="008166D7">
        <w:rPr>
          <w:rFonts w:eastAsia="Gadugi"/>
          <w:lang w:bidi="fr-CA"/>
        </w:rPr>
        <w:t>La SÉQ a répondu à la DI URRC-QEC-3(a) en indiquant que la reclassification des comptes de la ville d’Iqaluit en tant que comptes non gouvernementaux aurait pour effet d’entra</w:t>
      </w:r>
      <w:r w:rsidR="00AD7DDC">
        <w:rPr>
          <w:rFonts w:eastAsia="Gadugi"/>
          <w:lang w:bidi="fr-CA"/>
        </w:rPr>
        <w:t>i</w:t>
      </w:r>
      <w:r w:rsidRPr="008166D7">
        <w:rPr>
          <w:rFonts w:eastAsia="Gadugi"/>
          <w:lang w:bidi="fr-CA"/>
        </w:rPr>
        <w:t>ner un manque à gagner de 948 000 $ par rapport aux taux et aux revenus prévus dans les prévisions de la RMTG.</w:t>
      </w:r>
    </w:p>
    <w:p w14:paraId="7262C99D" w14:textId="05AEC76B" w:rsidR="00D10E31" w:rsidRPr="008166D7" w:rsidRDefault="00813998" w:rsidP="00D10E31">
      <w:pPr>
        <w:pStyle w:val="Corpsdetexte"/>
        <w:ind w:hanging="530"/>
      </w:pPr>
      <w:r w:rsidRPr="008166D7">
        <w:rPr>
          <w:rFonts w:eastAsia="Gadugi"/>
          <w:lang w:bidi="fr-CA"/>
        </w:rPr>
        <w:t>Dans la DI URRC-QEC-3 (c) et (d), le CETES a demandé l’avis de la SÉQ sur la façon dont le manque à gagner serait récupéré. La SÉQ a répondu que si elle était mise en œuvre, le manque à gagner serait récupéré par le biais des tarifs gouvernementaux et entra</w:t>
      </w:r>
      <w:r w:rsidR="00296C2D">
        <w:rPr>
          <w:rFonts w:eastAsia="Gadugi"/>
          <w:lang w:bidi="fr-CA"/>
        </w:rPr>
        <w:t>i</w:t>
      </w:r>
      <w:r w:rsidRPr="008166D7">
        <w:rPr>
          <w:rFonts w:eastAsia="Gadugi"/>
          <w:lang w:bidi="fr-CA"/>
        </w:rPr>
        <w:t>nerait de légers ajustements à ces tarifs tels que déposés dans la RMTG.</w:t>
      </w:r>
    </w:p>
    <w:p w14:paraId="7262C99F" w14:textId="2B36E43B" w:rsidR="00D10E31" w:rsidRPr="008166D7" w:rsidRDefault="00813998" w:rsidP="00F2727C">
      <w:pPr>
        <w:pStyle w:val="Corpsdetexte"/>
        <w:ind w:hanging="503"/>
      </w:pPr>
      <w:r w:rsidRPr="008166D7">
        <w:rPr>
          <w:rFonts w:eastAsia="Gadugi"/>
          <w:lang w:bidi="fr-CA"/>
        </w:rPr>
        <w:t>Le CETES a examiné toutes les preuves fournies dans la demande, ainsi que les réponses aux DI présentées et déposées dans les soumissions. Le CETES a examiné attentivement les préoccupations soulevées précédemment dans les présentations orales et écrites, et a déterminé que tant que les hameaux sont en mesure de récupérer leurs co</w:t>
      </w:r>
      <w:r w:rsidR="00AD7DDC">
        <w:rPr>
          <w:rFonts w:eastAsia="Gadugi"/>
          <w:lang w:bidi="fr-CA"/>
        </w:rPr>
        <w:t>u</w:t>
      </w:r>
      <w:r w:rsidRPr="008166D7">
        <w:rPr>
          <w:rFonts w:eastAsia="Gadugi"/>
          <w:lang w:bidi="fr-CA"/>
        </w:rPr>
        <w:t>ts d’électricité prévus (tels que soumis/notés par la SÉQ, y compris tous les effets de la modification proposée des tarifs à l’échelle du Nunavut), les hameaux ne devraient pas être touchés et devraient rester indifférents au reclassement proposé des comptes gouvernementaux de la ville d’Iqaluit. Le CETES recommande que le ou les comptes de la ville d’Iqaluit soient reclassés afin de bénéficier d’un traitement similaire aux tarifs non</w:t>
      </w:r>
      <w:r w:rsidR="00563FA3">
        <w:rPr>
          <w:rFonts w:eastAsia="Gadugi"/>
          <w:lang w:bidi="fr-CA"/>
        </w:rPr>
        <w:t xml:space="preserve"> </w:t>
      </w:r>
      <w:r w:rsidRPr="008166D7">
        <w:rPr>
          <w:rFonts w:eastAsia="Gadugi"/>
          <w:lang w:bidi="fr-CA"/>
        </w:rPr>
        <w:t>gouvernementaux.</w:t>
      </w:r>
    </w:p>
    <w:p w14:paraId="7262C9A2" w14:textId="78E835AE" w:rsidR="00D10880" w:rsidRPr="008166D7" w:rsidRDefault="00813998" w:rsidP="00F718E1">
      <w:pPr>
        <w:pStyle w:val="Corpsdetexte"/>
        <w:ind w:hanging="530"/>
      </w:pPr>
      <w:r w:rsidRPr="008166D7">
        <w:rPr>
          <w:rFonts w:eastAsia="Gadugi"/>
          <w:lang w:bidi="fr-CA"/>
        </w:rPr>
        <w:lastRenderedPageBreak/>
        <w:t xml:space="preserve">Bien que le CETES soit d’accord pour que la ville d’Iqaluit bénéficie d’un certain allègement tarifaire, le CETES n’est pas entièrement d’accord avec la méthode proposée par la SÉQ. Le CETES estime que ce n’est pas un bon précédent que de classer la ville d’Iqaluit comme un client non gouvernemental tout en laissant les autres hameaux classés comme gouvernementaux. Le CETES indique également qu’en vertu d’une structure tarifaire à l’échelle du Nunavut, la SÉQ passera de la gestion de plus de 100 classes tarifaires (c.-à-d. quatre classes tarifaires x 25 collectivités, plus les lampadaires) à quatre classes tarifaires. Le CETES n’accepte pas que l’ajout de classes tarifaires pour le client percepteur de taxes municipales et pour le client non percepteur de taxes municipales représente une augmentation significative du fardeau administratif de la SÉQ. </w:t>
      </w:r>
    </w:p>
    <w:p w14:paraId="7262C9A3" w14:textId="3AD6BE2A" w:rsidR="007E5103" w:rsidRPr="008166D7" w:rsidRDefault="00813998" w:rsidP="00F718E1">
      <w:pPr>
        <w:pStyle w:val="Corpsdetexte"/>
        <w:ind w:hanging="530"/>
      </w:pPr>
      <w:r w:rsidRPr="008166D7">
        <w:rPr>
          <w:rFonts w:eastAsia="Gadugi"/>
          <w:lang w:bidi="fr-CA"/>
        </w:rPr>
        <w:t>Le CETES recommande que la SÉQ crée des tarifs pour le client percepteur de taxes municipales et pour le client non</w:t>
      </w:r>
      <w:r w:rsidR="00563FA3">
        <w:rPr>
          <w:rFonts w:eastAsia="Gadugi"/>
          <w:lang w:bidi="fr-CA"/>
        </w:rPr>
        <w:t xml:space="preserve"> </w:t>
      </w:r>
      <w:r w:rsidRPr="008166D7">
        <w:rPr>
          <w:rFonts w:eastAsia="Gadugi"/>
          <w:lang w:bidi="fr-CA"/>
        </w:rPr>
        <w:t xml:space="preserve">percepteur de taxes municipales. Aux fins de la RMTG, le ou les tarifs pour le client percepteur de taxes municipales pourraient être déterminés de la même manière que ceux pour le client non gouvernemental. </w:t>
      </w:r>
    </w:p>
    <w:p w14:paraId="7262C9A4" w14:textId="3F9864FF" w:rsidR="007E007A" w:rsidRPr="008166D7" w:rsidRDefault="00813998" w:rsidP="00F718E1">
      <w:pPr>
        <w:pStyle w:val="Corpsdetexte"/>
        <w:ind w:hanging="530"/>
      </w:pPr>
      <w:r w:rsidRPr="008166D7">
        <w:rPr>
          <w:rFonts w:eastAsia="Gadugi"/>
          <w:lang w:bidi="fr-CA"/>
        </w:rPr>
        <w:t>Le CETES recommande que le nouveau tarif du client percepteur de taxes municipales connaisse la même augmentation de 5,1 % que tous les autres clients non gouvernementaux. Le CETES recommande également que les tarifs des autres clients gouvernementaux et des clients non percepteurs de taxes municipales soient ajustés afin de combler le manque à gagner qui résultera de la reclassification des clients gouvernementaux de la ville d’Iqaluit.</w:t>
      </w:r>
    </w:p>
    <w:p w14:paraId="3D74410E" w14:textId="72889877" w:rsidR="000A64E7" w:rsidRPr="008166D7" w:rsidRDefault="00813998" w:rsidP="004D757C">
      <w:pPr>
        <w:pStyle w:val="Corpsdetexte"/>
        <w:ind w:hanging="503"/>
      </w:pPr>
      <w:r w:rsidRPr="008166D7">
        <w:rPr>
          <w:rFonts w:eastAsia="Gadugi"/>
          <w:lang w:bidi="fr-CA"/>
        </w:rPr>
        <w:t>Le CETES recommande que, dans le cas où la SÉQ ne crée pas de tarifs pour les clients percepteurs de taxes municipales et les clients non percepteurs de taxes municipales, le manque à gagner créé par la reclassification de la ville d’Iqaluit soit attribué à tous les autres comptes gouvernementaux selon la méthode proposée par la SÉQ.</w:t>
      </w:r>
    </w:p>
    <w:p w14:paraId="7262C9A5" w14:textId="63FE4C05" w:rsidR="00314AF9" w:rsidRPr="008166D7" w:rsidRDefault="00813998" w:rsidP="00520D93">
      <w:pPr>
        <w:pStyle w:val="Corpsdetexte"/>
        <w:ind w:hanging="530"/>
      </w:pPr>
      <w:r w:rsidRPr="008166D7">
        <w:rPr>
          <w:rFonts w:eastAsia="Gadugi"/>
          <w:lang w:bidi="fr-CA"/>
        </w:rPr>
        <w:t>Le CETES souligne également que ni la SÉQ ni le ministre responsable de la SÉQ n’ont le pouvoir discrétionnaire ou la capacité de modifier la façon dont les hameaux recouvrent leurs co</w:t>
      </w:r>
      <w:r w:rsidR="00AD7DDC">
        <w:rPr>
          <w:rFonts w:eastAsia="Gadugi"/>
          <w:lang w:bidi="fr-CA"/>
        </w:rPr>
        <w:t>u</w:t>
      </w:r>
      <w:r w:rsidRPr="008166D7">
        <w:rPr>
          <w:rFonts w:eastAsia="Gadugi"/>
          <w:lang w:bidi="fr-CA"/>
        </w:rPr>
        <w:t xml:space="preserve">ts. Toutefois, le CETES recommande que la SÉQ surveille les répercussions de la transition proposée vers des tarifs à l’échelle du Nunavut (y compris </w:t>
      </w:r>
      <w:r w:rsidRPr="008166D7">
        <w:rPr>
          <w:rFonts w:eastAsia="Gadugi"/>
          <w:lang w:bidi="fr-CA"/>
        </w:rPr>
        <w:lastRenderedPageBreak/>
        <w:t>la reclassification des comptes de la ville d’Iqaluit) et qu’elle réévalue la situation en fonction de la réponse du GN et/ou des ajustements apportés au mode de financement des hameaux. De plus, si des résultats indésirables sont observés, la SÉQ présentera une demande pour remédier à ces impacts. Bien que la SÉQ puisse consulter le GN sur ces questions, le CETES reconna</w:t>
      </w:r>
      <w:r w:rsidR="00AD7DDC">
        <w:rPr>
          <w:rFonts w:eastAsia="Gadugi"/>
          <w:lang w:bidi="fr-CA"/>
        </w:rPr>
        <w:t>i</w:t>
      </w:r>
      <w:r w:rsidRPr="008166D7">
        <w:rPr>
          <w:rFonts w:eastAsia="Gadugi"/>
          <w:lang w:bidi="fr-CA"/>
        </w:rPr>
        <w:t>t qu’en fin de compte, toute mesure prise pour ajuster le mode de financement des hameaux est à la discrétion du GN.</w:t>
      </w:r>
    </w:p>
    <w:p w14:paraId="7262C9A6" w14:textId="77777777" w:rsidR="007E5103" w:rsidRPr="008166D7" w:rsidRDefault="00813998" w:rsidP="00520D93">
      <w:pPr>
        <w:pStyle w:val="Heading2URRC"/>
        <w:rPr>
          <w:rFonts w:ascii="Times New Roman" w:hAnsi="Times New Roman"/>
        </w:rPr>
      </w:pPr>
      <w:r w:rsidRPr="008166D7">
        <w:rPr>
          <w:rFonts w:ascii="Times New Roman" w:eastAsia="Gadugi" w:hAnsi="Times New Roman"/>
          <w:lang w:bidi="fr-CA"/>
        </w:rPr>
        <w:t>AUTRES QUESTIONS</w:t>
      </w:r>
    </w:p>
    <w:p w14:paraId="7262C9A7" w14:textId="154E96F3" w:rsidR="00C51602" w:rsidRPr="008166D7" w:rsidRDefault="00813998" w:rsidP="00F718E1">
      <w:pPr>
        <w:pStyle w:val="Corpsdetexte"/>
        <w:ind w:hanging="530"/>
      </w:pPr>
      <w:r w:rsidRPr="008166D7">
        <w:rPr>
          <w:rFonts w:eastAsia="Gadugi"/>
          <w:lang w:bidi="fr-CA"/>
        </w:rPr>
        <w:t>Le CETES indique que certaines questions qui ne sont pas spécifiquement liées à la RMTG ont été soulevées dans les soumissions publiques ou au cours de l’examen de la demande par le CETES. Chacune d’entre elles est abordée dans les sections ci-dessous.</w:t>
      </w:r>
    </w:p>
    <w:p w14:paraId="7262C9A8" w14:textId="77777777" w:rsidR="007E5103" w:rsidRPr="008166D7" w:rsidRDefault="00813998" w:rsidP="003F6BC6">
      <w:pPr>
        <w:pStyle w:val="Heading3URRC"/>
        <w:rPr>
          <w:rFonts w:ascii="Times New Roman" w:hAnsi="Times New Roman"/>
        </w:rPr>
      </w:pPr>
      <w:r w:rsidRPr="008166D7">
        <w:rPr>
          <w:rFonts w:ascii="Times New Roman" w:eastAsia="Gadugi" w:hAnsi="Times New Roman"/>
          <w:lang w:bidi="fr-CA"/>
        </w:rPr>
        <w:t>PROGRAMME DE SUBVENTION SUR L’ÉLECTRICITÉ DU NUNAVUT</w:t>
      </w:r>
    </w:p>
    <w:p w14:paraId="7262C9A9" w14:textId="6C0B7F37" w:rsidR="0088096A" w:rsidRPr="008166D7" w:rsidRDefault="00813998" w:rsidP="0088096A">
      <w:pPr>
        <w:pStyle w:val="Corpsdetexte"/>
        <w:ind w:hanging="530"/>
        <w:rPr>
          <w:lang w:val="fr-FR"/>
        </w:rPr>
      </w:pPr>
      <w:r w:rsidRPr="008166D7">
        <w:rPr>
          <w:rFonts w:eastAsia="Gadugi"/>
          <w:lang w:bidi="fr-CA"/>
        </w:rPr>
        <w:t>Le CETES indique que la transition proposée par la SÉQ vers des tarifs applicables à l’échelle du Nunavut (tels qu’ils ont été demandés) suppose qu’aucun changement n’est apporté au Programme de subvention sur l’électricité au Nunavut, qui est à la seule discrétion du GN. Le CETES indique également que ni la SÉQ ni le ministre responsable de la SÉQ n’ont la capacité de modifier le programme.</w:t>
      </w:r>
    </w:p>
    <w:p w14:paraId="7262C9AA" w14:textId="1435C725" w:rsidR="003363A5" w:rsidRPr="008166D7" w:rsidRDefault="00813998" w:rsidP="00F718E1">
      <w:pPr>
        <w:pStyle w:val="Corpsdetexte"/>
        <w:ind w:hanging="530"/>
      </w:pPr>
      <w:r w:rsidRPr="008166D7">
        <w:rPr>
          <w:rFonts w:eastAsia="Gadugi"/>
          <w:lang w:bidi="fr-CA"/>
        </w:rPr>
        <w:t>Le CETES estime que le manque de capacité de la SÉQ à obtenir ou à influencer des changements dans le Programme de subvention sur l’électricité au Nunavut ne devrait pas empêcher la SÉQ d’explorer ou de promouvoir des changements qui pourraient améliorer sa conception tarifaire, son efficacité administrative et/ou être utiles à ses clients qui relèvent de son mandat.</w:t>
      </w:r>
    </w:p>
    <w:p w14:paraId="7262C9AB" w14:textId="04221BCA" w:rsidR="00E462B3" w:rsidRPr="008166D7" w:rsidRDefault="00813998" w:rsidP="00F718E1">
      <w:pPr>
        <w:pStyle w:val="Corpsdetexte"/>
        <w:ind w:hanging="530"/>
      </w:pPr>
      <w:r w:rsidRPr="008166D7">
        <w:rPr>
          <w:rFonts w:eastAsia="Gadugi"/>
          <w:lang w:bidi="fr-CA"/>
        </w:rPr>
        <w:t xml:space="preserve">Le CETES a recommandé que la prime de puissance et les tarifs des clients soient augmentés d’au moins un tiers pour atteindre la couverture totale des revenus. Si l’intégration au Programme de subvention sur l’électricité au Nunavut a un effet défavorable sur les intentions générales de la SÉQ à l’égard des changements proposés, l’organisation devra réévaluer et/ou énoncer clairement les implications au GN, qui a le pouvoir discrétionnaire exclusif d’administrer et d’imposer le Programme de </w:t>
      </w:r>
      <w:r w:rsidRPr="008166D7">
        <w:rPr>
          <w:rFonts w:eastAsia="Gadugi"/>
          <w:lang w:bidi="fr-CA"/>
        </w:rPr>
        <w:lastRenderedPageBreak/>
        <w:t>subvention sur l’électricité et les intentions de ce programme au profit des Nuna</w:t>
      </w:r>
      <w:r w:rsidR="00296C2D">
        <w:rPr>
          <w:rFonts w:eastAsia="Gadugi"/>
          <w:lang w:bidi="fr-CA"/>
        </w:rPr>
        <w:t>voises et Nunavois</w:t>
      </w:r>
      <w:r w:rsidRPr="008166D7">
        <w:rPr>
          <w:rFonts w:eastAsia="Gadugi"/>
          <w:lang w:bidi="fr-CA"/>
        </w:rPr>
        <w:t>.</w:t>
      </w:r>
    </w:p>
    <w:p w14:paraId="7262C9AC" w14:textId="6E259DB2" w:rsidR="00E462B3" w:rsidRPr="008166D7" w:rsidRDefault="00813998" w:rsidP="00F718E1">
      <w:pPr>
        <w:pStyle w:val="Corpsdetexte"/>
        <w:ind w:hanging="530"/>
      </w:pPr>
      <w:r w:rsidRPr="008166D7">
        <w:rPr>
          <w:rFonts w:eastAsia="Gadugi"/>
          <w:lang w:bidi="fr-CA"/>
        </w:rPr>
        <w:t>De même, le CETES recommande que dans les futures RMTG, la SÉQ envisage de subdiviser ses classes tarifaires existantes si, par exemple, l’écart entre les clients dont la consommation est faible et ceux dont la consommation est élevée constitue un obstacle à la modification des tarifs existants. Le CETES indique que la SÉQ est réticente à modifier la prime de puissance et les tarifs des clients, en partie à cause des impacts potentiels sur la facturation des clients dont la consommation est faible.</w:t>
      </w:r>
    </w:p>
    <w:p w14:paraId="7262C9AD" w14:textId="1626B9C6" w:rsidR="00A84F84" w:rsidRPr="008166D7" w:rsidRDefault="00813998" w:rsidP="00F718E1">
      <w:pPr>
        <w:pStyle w:val="Corpsdetexte"/>
        <w:ind w:hanging="530"/>
      </w:pPr>
      <w:r w:rsidRPr="008166D7">
        <w:rPr>
          <w:rFonts w:eastAsia="Gadugi"/>
          <w:lang w:bidi="fr-CA"/>
        </w:rPr>
        <w:t xml:space="preserve">Le CETES indique que si la transition vers des tarifs à l’échelle du Nunavut n’est pas approuvée telle que proposée, la SÉQ pourrait devoir expliquer la nécessité pour le GN de procéder à d’autres considérations générales du Programme de subvention sur l’électricité au Nunavut, tel que décrit dans la demande et les réponses aux DI. </w:t>
      </w:r>
    </w:p>
    <w:p w14:paraId="7262C9AE" w14:textId="77777777" w:rsidR="007E5103" w:rsidRPr="008166D7" w:rsidRDefault="00813998" w:rsidP="00501516">
      <w:pPr>
        <w:pStyle w:val="Heading3URRC"/>
        <w:rPr>
          <w:rFonts w:ascii="Times New Roman" w:hAnsi="Times New Roman"/>
        </w:rPr>
      </w:pPr>
      <w:r w:rsidRPr="008166D7">
        <w:rPr>
          <w:rFonts w:ascii="Times New Roman" w:eastAsia="Gadugi" w:hAnsi="Times New Roman"/>
          <w:lang w:bidi="fr-CA"/>
        </w:rPr>
        <w:t>PROBLÈMES DE FACTURATION, DE CRÉDIT ET DE PAIEMENT</w:t>
      </w:r>
    </w:p>
    <w:p w14:paraId="7262C9AF" w14:textId="77777777" w:rsidR="00E12CC2" w:rsidRPr="008166D7" w:rsidRDefault="00813998" w:rsidP="00F718E1">
      <w:pPr>
        <w:pStyle w:val="Corpsdetexte"/>
        <w:ind w:hanging="530"/>
        <w:rPr>
          <w:lang w:val="fr-FR"/>
        </w:rPr>
      </w:pPr>
      <w:r w:rsidRPr="008166D7">
        <w:rPr>
          <w:rFonts w:eastAsia="Gadugi"/>
          <w:lang w:bidi="fr-CA"/>
        </w:rPr>
        <w:t>Le CETES souligne que certaines soumissions publiques ont soulevé des préoccupations concernant des problèmes de facturation, de crédit et/ou de paiement. Sans entrer dans les détails des soumissions, le CETES recommande que la SÉQ envisage d’améliorer ses systèmes de facturation et de traitement des paiements. Le CETES indique également que la SÉQ a soulevé des préoccupations quant à l’efficacité administrative et à la réaction des clients aux impacts sur les taux et la facturation.</w:t>
      </w:r>
    </w:p>
    <w:p w14:paraId="7262C9B0" w14:textId="3E128885" w:rsidR="0017497D" w:rsidRPr="008166D7" w:rsidRDefault="00813998" w:rsidP="00F718E1">
      <w:pPr>
        <w:pStyle w:val="Corpsdetexte"/>
        <w:ind w:hanging="530"/>
        <w:rPr>
          <w:lang w:val="fr-FR"/>
        </w:rPr>
      </w:pPr>
      <w:r w:rsidRPr="008166D7">
        <w:rPr>
          <w:rFonts w:eastAsia="Gadugi"/>
          <w:lang w:bidi="fr-CA"/>
        </w:rPr>
        <w:t>Le CETES recommande que la SÉQ invite ses clients à approfondir leurs connaissances en matière d’énergie et à améliorer sa facturation afin qu’elle soit plus lisible et plus conviviale. Comparée à d’autres territoires, la structure tarifaire de la SÉQ est déjà assez simple, mais l’introduction d’un langage convivial, d’une présentation non technique et facile à traduire de la consommation d’énergie, des impacts et de l’explication des frais mensuels serait peut-être bénéfique à la fois pour la SÉQ et pour ses clients.</w:t>
      </w:r>
    </w:p>
    <w:p w14:paraId="7262C9B1" w14:textId="680C3AB8" w:rsidR="00E12CC2" w:rsidRPr="008166D7" w:rsidRDefault="00813998" w:rsidP="00F718E1">
      <w:pPr>
        <w:pStyle w:val="Corpsdetexte"/>
        <w:ind w:hanging="530"/>
        <w:rPr>
          <w:lang w:val="fr-FR"/>
        </w:rPr>
      </w:pPr>
      <w:r w:rsidRPr="008166D7">
        <w:rPr>
          <w:rFonts w:eastAsia="Gadugi"/>
          <w:lang w:bidi="fr-CA"/>
        </w:rPr>
        <w:t xml:space="preserve">Le CETES recommande également que la SÉQ augmente sa surveillance pour aider à déterminer les habitudes de consommation des clients qui sont sensiblement différentes </w:t>
      </w:r>
      <w:r w:rsidRPr="008166D7">
        <w:rPr>
          <w:rFonts w:eastAsia="Gadugi"/>
          <w:lang w:bidi="fr-CA"/>
        </w:rPr>
        <w:lastRenderedPageBreak/>
        <w:t>de la norme pour un client particulier ou par rapport aux autres clients ou aux consommateurs d’énergie moyens. Le CETES indique que ce type de surveillance est effectué pour signaler/déterminer les problèmes de lecture des compteurs ou d’autres types de problèmes d’utilisation.</w:t>
      </w:r>
    </w:p>
    <w:p w14:paraId="7262C9B2" w14:textId="77777777" w:rsidR="00C86374" w:rsidRPr="008166D7" w:rsidRDefault="00813998" w:rsidP="00F718E1">
      <w:pPr>
        <w:pStyle w:val="Corpsdetexte"/>
        <w:ind w:hanging="530"/>
        <w:rPr>
          <w:lang w:val="fr-FR"/>
        </w:rPr>
      </w:pPr>
      <w:r w:rsidRPr="008166D7">
        <w:rPr>
          <w:rFonts w:eastAsia="Gadugi"/>
          <w:lang w:bidi="fr-CA"/>
        </w:rPr>
        <w:t>Le CETES est également conscient de certains problèmes potentiels liés au traitement des paiements et à la confidentialité des données. Le CETES recommande à la SÉQ d’explorer des méthodes pour éviter que les clients fournissent des informations sur leur carte de crédit par téléphone, par courriel ou sur un formulaire non sécurisé pour la facturation automatique. Le CETES comprend que cela puisse représenter un défi pour la SÉQ et certains clients, mais cela permettrait de réduire l’exposition de la SÉQ et de ses clients à des risques inutiles en matière de finances, de données et de confidentialité.</w:t>
      </w:r>
    </w:p>
    <w:p w14:paraId="7262C9B3" w14:textId="018B9A20" w:rsidR="001F397D" w:rsidRPr="008166D7" w:rsidRDefault="00813998" w:rsidP="00C67278">
      <w:pPr>
        <w:pStyle w:val="Corpsdetexte"/>
        <w:ind w:hanging="530"/>
        <w:rPr>
          <w:lang w:val="fr-FR"/>
        </w:rPr>
      </w:pPr>
      <w:r w:rsidRPr="008166D7">
        <w:rPr>
          <w:rFonts w:eastAsia="Gadugi"/>
          <w:lang w:bidi="fr-CA"/>
        </w:rPr>
        <w:t>Le CETES indique également qu’une RMTG semble être le seul mécanisme permettant de traiter les problèmes de facturation des clients, ce qui n’est pas l’objectif visé par une RMTG. Le CETES recommande au ministre responsable et à la SÉQ de mettre en place un mécanisme permettant d’exprimer et de gérer ce type de préoccupations/plaintes, indépendamment des procédures de la RMTG.</w:t>
      </w:r>
    </w:p>
    <w:p w14:paraId="7262C9B4" w14:textId="77777777" w:rsidR="00520D93" w:rsidRPr="008166D7" w:rsidRDefault="00813998" w:rsidP="00520D93">
      <w:pPr>
        <w:pStyle w:val="Heading3URRC"/>
        <w:rPr>
          <w:rFonts w:ascii="Times New Roman" w:hAnsi="Times New Roman"/>
          <w:lang w:val="fr-FR"/>
        </w:rPr>
      </w:pPr>
      <w:r w:rsidRPr="008166D7">
        <w:rPr>
          <w:rFonts w:ascii="Times New Roman" w:eastAsia="Gadugi" w:hAnsi="Times New Roman"/>
          <w:lang w:bidi="fr-CA"/>
        </w:rPr>
        <w:t>QUESTIONS RELATIVES AU PÉCI ET AUX PÉI</w:t>
      </w:r>
    </w:p>
    <w:p w14:paraId="7262C9B5" w14:textId="5C4E4273" w:rsidR="00520D93" w:rsidRPr="008166D7" w:rsidRDefault="00813998" w:rsidP="00C67278">
      <w:pPr>
        <w:pStyle w:val="Corpsdetexte"/>
        <w:ind w:hanging="530"/>
        <w:rPr>
          <w:lang w:val="fr-FR"/>
        </w:rPr>
      </w:pPr>
      <w:r w:rsidRPr="008166D7">
        <w:rPr>
          <w:rFonts w:eastAsia="Gadugi"/>
          <w:lang w:bidi="fr-CA"/>
        </w:rPr>
        <w:t xml:space="preserve">Le CETES souligne que certaines soumissions publiques ont soulevé des inquiétudes au sujet du PÉCI et des programmes relatifs aux PÉI qui n’ont pas encore été dévoilés ou proposés. Le CETES apprécie les soumissions publiques et les réponses de la SÉQ, mais ces questions ne sont pas prises en compte dans la RMTG. </w:t>
      </w:r>
    </w:p>
    <w:p w14:paraId="7262C9B6" w14:textId="77777777" w:rsidR="00520D93" w:rsidRPr="008166D7" w:rsidRDefault="00813998" w:rsidP="00C67278">
      <w:pPr>
        <w:pStyle w:val="Corpsdetexte"/>
        <w:ind w:hanging="530"/>
        <w:rPr>
          <w:lang w:val="fr-FR"/>
        </w:rPr>
      </w:pPr>
      <w:r w:rsidRPr="008166D7">
        <w:rPr>
          <w:rFonts w:eastAsia="Gadugi"/>
          <w:lang w:bidi="fr-CA"/>
        </w:rPr>
        <w:t xml:space="preserve">Le CETES indique également qu’en l’absence de demandes PÉCI/PÉI, les examens de la RMTG et des DPPM semblent être les seuls mécanismes dont dispose le public pour faire part des préoccupations de ce type. </w:t>
      </w:r>
    </w:p>
    <w:p w14:paraId="7262C9B7" w14:textId="373A7C9E" w:rsidR="00520D93" w:rsidRPr="008166D7" w:rsidRDefault="00813998" w:rsidP="00C67278">
      <w:pPr>
        <w:pStyle w:val="Corpsdetexte"/>
        <w:ind w:hanging="530"/>
        <w:rPr>
          <w:lang w:val="fr-FR"/>
        </w:rPr>
      </w:pPr>
      <w:r w:rsidRPr="008166D7">
        <w:rPr>
          <w:rFonts w:eastAsia="Gadugi"/>
          <w:lang w:bidi="fr-CA"/>
        </w:rPr>
        <w:t xml:space="preserve">Le CETES recommande que, jusqu’à ce que les demandes de PÉCI/PÉI soient déposées, le ministre responsable et la SÉQ élaborent un mécanisme permettant d’exprimer et de gérer ce type de préoccupations, indépendamment d’une RMTG. </w:t>
      </w:r>
    </w:p>
    <w:p w14:paraId="7262C9B9" w14:textId="77777777" w:rsidR="0023016E" w:rsidRPr="008166D7" w:rsidRDefault="00813998" w:rsidP="0023016E">
      <w:pPr>
        <w:pStyle w:val="Heading3URRC"/>
        <w:rPr>
          <w:rFonts w:ascii="Times New Roman" w:hAnsi="Times New Roman"/>
        </w:rPr>
      </w:pPr>
      <w:r w:rsidRPr="008166D7">
        <w:rPr>
          <w:rFonts w:ascii="Times New Roman" w:eastAsia="Gadugi" w:hAnsi="Times New Roman"/>
          <w:lang w:bidi="fr-CA"/>
        </w:rPr>
        <w:lastRenderedPageBreak/>
        <w:t>RAPPORT ANNUEL SUR LES FINANCES ET L’EXPLOITATION</w:t>
      </w:r>
    </w:p>
    <w:p w14:paraId="7262C9BA" w14:textId="7F21D2D6" w:rsidR="0023016E" w:rsidRPr="008166D7" w:rsidRDefault="00813998" w:rsidP="0023016E">
      <w:pPr>
        <w:pStyle w:val="Corpsdetexte"/>
        <w:ind w:hanging="530"/>
        <w:rPr>
          <w:lang w:val="fr-FR"/>
        </w:rPr>
      </w:pPr>
      <w:r w:rsidRPr="008166D7">
        <w:rPr>
          <w:rFonts w:eastAsia="Gadugi"/>
          <w:lang w:bidi="fr-CA"/>
        </w:rPr>
        <w:t>Le CETES indique que la SÉQ a l’habitude d’attendre au moins trois à quatre ans avant de soumettre une RMTG. Dans la période intermédiaire, le CETES a eu peu de visibilité sur les calendriers r</w:t>
      </w:r>
      <w:r w:rsidR="008166D7">
        <w:rPr>
          <w:rFonts w:eastAsia="Gadugi"/>
          <w:lang w:bidi="fr-CA"/>
        </w:rPr>
        <w:t>è</w:t>
      </w:r>
      <w:r w:rsidRPr="008166D7">
        <w:rPr>
          <w:rFonts w:eastAsia="Gadugi"/>
          <w:lang w:bidi="fr-CA"/>
        </w:rPr>
        <w:t>glementaires ou les informations d’exploitation de la SÉQ.</w:t>
      </w:r>
    </w:p>
    <w:p w14:paraId="7262C9BB" w14:textId="1444D82A" w:rsidR="00822212" w:rsidRPr="008166D7" w:rsidRDefault="00813998" w:rsidP="0023016E">
      <w:pPr>
        <w:pStyle w:val="Corpsdetexte"/>
        <w:ind w:hanging="530"/>
        <w:rPr>
          <w:lang w:val="fr-FR"/>
        </w:rPr>
      </w:pPr>
      <w:r w:rsidRPr="008166D7">
        <w:rPr>
          <w:rFonts w:eastAsia="Gadugi"/>
          <w:lang w:bidi="fr-CA"/>
        </w:rPr>
        <w:t>Le CETES estime qu’il serait mieux informé si la SÉQ fournissait ses calendriers r</w:t>
      </w:r>
      <w:r w:rsidR="008166D7">
        <w:rPr>
          <w:rFonts w:eastAsia="Gadugi"/>
          <w:lang w:bidi="fr-CA"/>
        </w:rPr>
        <w:t>è</w:t>
      </w:r>
      <w:r w:rsidRPr="008166D7">
        <w:rPr>
          <w:rFonts w:eastAsia="Gadugi"/>
          <w:lang w:bidi="fr-CA"/>
        </w:rPr>
        <w:t>glementaires (semblables à ce qui a été soumis dans les annexes 3.1 à 6.4 de la RMTG), des renseignements sur l’IDMIS et l’IFMIS, ainsi que les niveaux de dotation (ETP et postes vacants) chaque année et tout autre renseignement d’importance r</w:t>
      </w:r>
      <w:r w:rsidR="008166D7">
        <w:rPr>
          <w:rFonts w:eastAsia="Gadugi"/>
          <w:lang w:bidi="fr-CA"/>
        </w:rPr>
        <w:t>è</w:t>
      </w:r>
      <w:r w:rsidRPr="008166D7">
        <w:rPr>
          <w:rFonts w:eastAsia="Gadugi"/>
          <w:lang w:bidi="fr-CA"/>
        </w:rPr>
        <w:t>glementaire.</w:t>
      </w:r>
    </w:p>
    <w:p w14:paraId="7262C9BC" w14:textId="106DCC4A" w:rsidR="0023016E" w:rsidRPr="008166D7" w:rsidRDefault="00813998" w:rsidP="0023016E">
      <w:pPr>
        <w:pStyle w:val="Corpsdetexte"/>
        <w:ind w:hanging="530"/>
        <w:rPr>
          <w:lang w:val="fr-FR"/>
        </w:rPr>
      </w:pPr>
      <w:r w:rsidRPr="008166D7">
        <w:rPr>
          <w:rFonts w:eastAsia="Gadugi"/>
          <w:lang w:bidi="fr-CA"/>
        </w:rPr>
        <w:t xml:space="preserve">Le CETES indique que ce type de rapport annuel est déjà fourni dans les </w:t>
      </w:r>
      <w:r w:rsidRPr="008166D7">
        <w:rPr>
          <w:rFonts w:eastAsia="Gadugi"/>
          <w:i/>
          <w:lang w:bidi="fr-CA"/>
        </w:rPr>
        <w:t>Règles de procédure et de pratique et lignes directrices des taux</w:t>
      </w:r>
      <w:r w:rsidRPr="008166D7">
        <w:rPr>
          <w:rFonts w:eastAsia="Gadugi"/>
          <w:lang w:bidi="fr-CA"/>
        </w:rPr>
        <w:t xml:space="preserve"> (mars 2007, page 16) du CETES, qui ont été établies en vertu de l’article 6(1) de la </w:t>
      </w:r>
      <w:r w:rsidRPr="008166D7">
        <w:rPr>
          <w:rFonts w:eastAsia="Gadugi"/>
          <w:i/>
          <w:lang w:bidi="fr-CA"/>
        </w:rPr>
        <w:t>Loi sur le CETES</w:t>
      </w:r>
      <w:r w:rsidRPr="008166D7">
        <w:rPr>
          <w:rFonts w:eastAsia="Gadugi"/>
          <w:lang w:bidi="fr-CA"/>
        </w:rPr>
        <w:t>.</w:t>
      </w:r>
    </w:p>
    <w:p w14:paraId="7262C9BD" w14:textId="6F0FB403" w:rsidR="0023016E" w:rsidRPr="008166D7" w:rsidRDefault="00813998" w:rsidP="0023016E">
      <w:pPr>
        <w:pStyle w:val="Corpsdetexte"/>
        <w:ind w:hanging="530"/>
        <w:rPr>
          <w:lang w:val="fr-FR"/>
        </w:rPr>
      </w:pPr>
      <w:r w:rsidRPr="008166D7">
        <w:rPr>
          <w:rFonts w:eastAsia="Gadugi"/>
          <w:lang w:bidi="fr-CA"/>
        </w:rPr>
        <w:t>Le CETES ordonne que les rapports annuels, y compris les calendriers r</w:t>
      </w:r>
      <w:r w:rsidR="008166D7">
        <w:rPr>
          <w:rFonts w:eastAsia="Gadugi"/>
          <w:lang w:bidi="fr-CA"/>
        </w:rPr>
        <w:t>è</w:t>
      </w:r>
      <w:r w:rsidRPr="008166D7">
        <w:rPr>
          <w:rFonts w:eastAsia="Gadugi"/>
          <w:lang w:bidi="fr-CA"/>
        </w:rPr>
        <w:t>glementaires (similaires à ce qui a été soumis dans les annexes 3.1 à 6.4 de la RMTG), les renseignements relatifs à IDMIS/IFMIS, ainsi que les niveaux de dotation (ETP et postes vacants) et d’autres renseignements d’importance r</w:t>
      </w:r>
      <w:r w:rsidR="008166D7">
        <w:rPr>
          <w:rFonts w:eastAsia="Gadugi"/>
          <w:lang w:bidi="fr-CA"/>
        </w:rPr>
        <w:t>è</w:t>
      </w:r>
      <w:r w:rsidRPr="008166D7">
        <w:rPr>
          <w:rFonts w:eastAsia="Gadugi"/>
          <w:lang w:bidi="fr-CA"/>
        </w:rPr>
        <w:t>glementaire, commencent après la fin de l’exercice financier 2022-2023. Le CETES ordonne que les rapports soient soumis dans les 180</w:t>
      </w:r>
      <w:r w:rsidR="00296C2D">
        <w:rPr>
          <w:rFonts w:eastAsia="Gadugi"/>
          <w:lang w:bidi="fr-CA"/>
        </w:rPr>
        <w:t> </w:t>
      </w:r>
      <w:r w:rsidRPr="008166D7">
        <w:rPr>
          <w:rFonts w:eastAsia="Gadugi"/>
          <w:lang w:bidi="fr-CA"/>
        </w:rPr>
        <w:t xml:space="preserve">jours suivant la fin de l’exercice financier à des fins d’information, conformément aux </w:t>
      </w:r>
      <w:r w:rsidRPr="008166D7">
        <w:rPr>
          <w:rFonts w:eastAsia="Gadugi"/>
          <w:i/>
          <w:lang w:bidi="fr-CA"/>
        </w:rPr>
        <w:t xml:space="preserve">Règles de procédure et de pratique et lignes directrices des taux </w:t>
      </w:r>
      <w:r w:rsidRPr="008166D7">
        <w:rPr>
          <w:rFonts w:eastAsia="Gadugi"/>
          <w:lang w:bidi="fr-CA"/>
        </w:rPr>
        <w:t>(mars 2007, page 16). </w:t>
      </w:r>
    </w:p>
    <w:p w14:paraId="7262C9C0" w14:textId="77777777" w:rsidR="009164D9" w:rsidRPr="008166D7" w:rsidRDefault="00813998" w:rsidP="00DA7011">
      <w:pPr>
        <w:pStyle w:val="Heading1URRC"/>
        <w:keepNext/>
        <w:keepLines/>
        <w:widowControl/>
        <w:spacing w:before="240"/>
        <w:rPr>
          <w:rFonts w:ascii="Times New Roman" w:hAnsi="Times New Roman"/>
        </w:rPr>
      </w:pPr>
      <w:bookmarkStart w:id="19" w:name="_bookmark6"/>
      <w:bookmarkStart w:id="20" w:name="5.0_URRC_RECOMMENDATION"/>
      <w:bookmarkStart w:id="21" w:name="_bookmark10"/>
      <w:bookmarkEnd w:id="19"/>
      <w:bookmarkEnd w:id="20"/>
      <w:bookmarkEnd w:id="21"/>
      <w:r w:rsidRPr="008166D7">
        <w:rPr>
          <w:rFonts w:ascii="Times New Roman" w:eastAsia="Gadugi" w:hAnsi="Times New Roman"/>
          <w:lang w:bidi="fr-CA"/>
        </w:rPr>
        <w:t>RECOMMANDATIONS DU CETES</w:t>
      </w:r>
    </w:p>
    <w:p w14:paraId="7262C9C1" w14:textId="77777777" w:rsidR="009164D9" w:rsidRPr="008166D7" w:rsidRDefault="00813998" w:rsidP="00C67278">
      <w:pPr>
        <w:pStyle w:val="Corpsdetexte"/>
        <w:ind w:hanging="530"/>
      </w:pPr>
      <w:r w:rsidRPr="008166D7">
        <w:rPr>
          <w:rFonts w:eastAsia="Gadugi"/>
          <w:lang w:bidi="fr-CA"/>
        </w:rPr>
        <w:t>Après l’examen des enjeux soulevés ci-dessus, le CETES formule la recommandation suivante :</w:t>
      </w:r>
    </w:p>
    <w:p w14:paraId="7262C9C2" w14:textId="77777777" w:rsidR="003033C6" w:rsidRPr="008166D7" w:rsidRDefault="00813998" w:rsidP="00DA7011">
      <w:pPr>
        <w:pStyle w:val="Corpsdetexte"/>
        <w:keepNext/>
        <w:numPr>
          <w:ilvl w:val="0"/>
          <w:numId w:val="0"/>
        </w:numPr>
        <w:spacing w:line="240" w:lineRule="auto"/>
        <w:ind w:left="1080"/>
        <w:rPr>
          <w:b/>
          <w:bCs/>
        </w:rPr>
      </w:pPr>
      <w:r w:rsidRPr="008166D7">
        <w:rPr>
          <w:rFonts w:eastAsia="Gadugi"/>
          <w:b/>
          <w:lang w:bidi="fr-CA"/>
        </w:rPr>
        <w:t>Recommandations sur les besoins en revenus</w:t>
      </w:r>
    </w:p>
    <w:p w14:paraId="7262C9C3" w14:textId="0B68F63D" w:rsidR="00C44C92" w:rsidRPr="008166D7" w:rsidRDefault="00813998" w:rsidP="00DA7011">
      <w:pPr>
        <w:pStyle w:val="Paragraphedeliste"/>
        <w:widowControl/>
        <w:spacing w:before="120" w:line="360" w:lineRule="auto"/>
        <w:ind w:left="1080" w:right="259" w:firstLine="0"/>
        <w:rPr>
          <w:sz w:val="24"/>
        </w:rPr>
      </w:pPr>
      <w:r w:rsidRPr="008166D7">
        <w:rPr>
          <w:rFonts w:eastAsia="Gadugi"/>
          <w:sz w:val="24"/>
          <w:lang w:bidi="fr-CA"/>
        </w:rPr>
        <w:t>Que les besoins en revenus prévus pour 2022-2023 de 144,015 millions de dollars soient approuvés sous réserve des recommandations suivantes :</w:t>
      </w:r>
    </w:p>
    <w:p w14:paraId="7262C9C4" w14:textId="77573492" w:rsidR="00415C28" w:rsidRPr="008166D7" w:rsidRDefault="00813998" w:rsidP="004B1B8A">
      <w:pPr>
        <w:pStyle w:val="Paragraphedeliste"/>
        <w:widowControl/>
        <w:numPr>
          <w:ilvl w:val="1"/>
          <w:numId w:val="1"/>
        </w:numPr>
        <w:spacing w:before="120" w:after="120" w:line="360" w:lineRule="auto"/>
        <w:ind w:left="1440" w:right="-14"/>
        <w:rPr>
          <w:sz w:val="24"/>
        </w:rPr>
      </w:pPr>
      <w:r w:rsidRPr="008166D7">
        <w:rPr>
          <w:rFonts w:eastAsia="Gadugi"/>
          <w:sz w:val="24"/>
          <w:lang w:bidi="fr-CA"/>
        </w:rPr>
        <w:lastRenderedPageBreak/>
        <w:t>Que la SÉQ ajuste sa méthode de prévision de l</w:t>
      </w:r>
      <w:r w:rsidR="00296C2D">
        <w:rPr>
          <w:rFonts w:eastAsia="Gadugi"/>
          <w:sz w:val="24"/>
          <w:lang w:bidi="fr-CA"/>
        </w:rPr>
        <w:t>’</w:t>
      </w:r>
      <w:r w:rsidRPr="008166D7">
        <w:rPr>
          <w:rFonts w:eastAsia="Gadugi"/>
          <w:sz w:val="24"/>
          <w:lang w:bidi="fr-CA"/>
        </w:rPr>
        <w:t>efficience énergétique pour comprendre l</w:t>
      </w:r>
      <w:r w:rsidR="00296C2D">
        <w:rPr>
          <w:rFonts w:eastAsia="Gadugi"/>
          <w:sz w:val="24"/>
          <w:lang w:bidi="fr-CA"/>
        </w:rPr>
        <w:t>’</w:t>
      </w:r>
      <w:r w:rsidRPr="008166D7">
        <w:rPr>
          <w:rFonts w:eastAsia="Gadugi"/>
          <w:sz w:val="24"/>
          <w:lang w:bidi="fr-CA"/>
        </w:rPr>
        <w:t>efficience énergétique estimée des centrales électriques nouvelles ou substantiellement modifiées pour les trois premières années d</w:t>
      </w:r>
      <w:r w:rsidR="00296C2D">
        <w:rPr>
          <w:rFonts w:eastAsia="Gadugi"/>
          <w:sz w:val="24"/>
          <w:lang w:bidi="fr-CA"/>
        </w:rPr>
        <w:t>’</w:t>
      </w:r>
      <w:r w:rsidRPr="008166D7">
        <w:rPr>
          <w:rFonts w:eastAsia="Gadugi"/>
          <w:sz w:val="24"/>
          <w:lang w:bidi="fr-CA"/>
        </w:rPr>
        <w:t xml:space="preserve">exploitation. Après la période de trois ans, l’utilisation de la méthode de la moyenne pondérée sur trois ans serait raisonnable. </w:t>
      </w:r>
    </w:p>
    <w:p w14:paraId="7262C9C5" w14:textId="4AE42676" w:rsidR="00321240" w:rsidRPr="008166D7" w:rsidRDefault="00813998" w:rsidP="00E94D39">
      <w:pPr>
        <w:pStyle w:val="Paragraphedeliste"/>
        <w:widowControl/>
        <w:numPr>
          <w:ilvl w:val="1"/>
          <w:numId w:val="1"/>
        </w:numPr>
        <w:spacing w:before="120" w:line="360" w:lineRule="auto"/>
        <w:ind w:left="1440" w:right="259"/>
        <w:rPr>
          <w:sz w:val="24"/>
        </w:rPr>
      </w:pPr>
      <w:r w:rsidRPr="008166D7">
        <w:rPr>
          <w:rFonts w:eastAsia="Gadugi"/>
          <w:sz w:val="24"/>
          <w:lang w:bidi="fr-CA"/>
        </w:rPr>
        <w:t>Que la SÉQ estime les dépenses de restauration des sites en fonction des travaux qu</w:t>
      </w:r>
      <w:r w:rsidR="00296C2D">
        <w:rPr>
          <w:rFonts w:eastAsia="Gadugi"/>
          <w:sz w:val="24"/>
          <w:lang w:bidi="fr-CA"/>
        </w:rPr>
        <w:t>’</w:t>
      </w:r>
      <w:r w:rsidRPr="008166D7">
        <w:rPr>
          <w:rFonts w:eastAsia="Gadugi"/>
          <w:sz w:val="24"/>
          <w:lang w:bidi="fr-CA"/>
        </w:rPr>
        <w:t>elle prévoit d</w:t>
      </w:r>
      <w:r w:rsidR="00296C2D">
        <w:rPr>
          <w:rFonts w:eastAsia="Gadugi"/>
          <w:sz w:val="24"/>
          <w:lang w:bidi="fr-CA"/>
        </w:rPr>
        <w:t>’</w:t>
      </w:r>
      <w:r w:rsidRPr="008166D7">
        <w:rPr>
          <w:rFonts w:eastAsia="Gadugi"/>
          <w:sz w:val="24"/>
          <w:lang w:bidi="fr-CA"/>
        </w:rPr>
        <w:t>entreprendre au cours de l</w:t>
      </w:r>
      <w:r w:rsidR="00296C2D">
        <w:rPr>
          <w:rFonts w:eastAsia="Gadugi"/>
          <w:sz w:val="24"/>
          <w:lang w:bidi="fr-CA"/>
        </w:rPr>
        <w:t>’</w:t>
      </w:r>
      <w:r w:rsidRPr="008166D7">
        <w:rPr>
          <w:rFonts w:eastAsia="Gadugi"/>
          <w:sz w:val="24"/>
          <w:lang w:bidi="fr-CA"/>
        </w:rPr>
        <w:t>exercice de référence.</w:t>
      </w:r>
    </w:p>
    <w:p w14:paraId="7262C9C6" w14:textId="77777777" w:rsidR="003033C6" w:rsidRPr="008166D7" w:rsidRDefault="003033C6" w:rsidP="008F5E7A">
      <w:pPr>
        <w:widowControl/>
        <w:ind w:left="1440" w:right="259"/>
        <w:rPr>
          <w:sz w:val="24"/>
        </w:rPr>
      </w:pPr>
    </w:p>
    <w:p w14:paraId="7262C9C7" w14:textId="77777777" w:rsidR="00FE28E1" w:rsidRPr="008166D7" w:rsidRDefault="00813998" w:rsidP="00FE28E1">
      <w:pPr>
        <w:pStyle w:val="Corpsdetexte"/>
        <w:keepNext/>
        <w:numPr>
          <w:ilvl w:val="0"/>
          <w:numId w:val="0"/>
        </w:numPr>
        <w:spacing w:line="240" w:lineRule="auto"/>
        <w:ind w:left="1080"/>
        <w:rPr>
          <w:b/>
          <w:bCs/>
        </w:rPr>
      </w:pPr>
      <w:r w:rsidRPr="008166D7">
        <w:rPr>
          <w:rFonts w:eastAsia="Gadugi"/>
          <w:b/>
          <w:lang w:bidi="fr-CA"/>
        </w:rPr>
        <w:t>Recommandations relatives à la conception tarifaire</w:t>
      </w:r>
    </w:p>
    <w:p w14:paraId="7262C9C8" w14:textId="15C7421C" w:rsidR="00FE28E1" w:rsidRPr="008166D7" w:rsidRDefault="00813998" w:rsidP="00D93B49">
      <w:pPr>
        <w:pStyle w:val="Paragraphedeliste"/>
        <w:widowControl/>
        <w:spacing w:before="120" w:line="360" w:lineRule="auto"/>
        <w:ind w:left="1080" w:right="259" w:firstLine="0"/>
        <w:rPr>
          <w:sz w:val="24"/>
        </w:rPr>
      </w:pPr>
      <w:r w:rsidRPr="008166D7">
        <w:rPr>
          <w:rFonts w:eastAsia="Gadugi"/>
          <w:sz w:val="24"/>
          <w:lang w:bidi="fr-CA"/>
        </w:rPr>
        <w:t>Que la transition vers des tarifs à l</w:t>
      </w:r>
      <w:r w:rsidR="00296C2D">
        <w:rPr>
          <w:rFonts w:eastAsia="Gadugi"/>
          <w:sz w:val="24"/>
          <w:lang w:bidi="fr-CA"/>
        </w:rPr>
        <w:t>’</w:t>
      </w:r>
      <w:r w:rsidRPr="008166D7">
        <w:rPr>
          <w:rFonts w:eastAsia="Gadugi"/>
          <w:sz w:val="24"/>
          <w:lang w:bidi="fr-CA"/>
        </w:rPr>
        <w:t>échelle du Nunavut soit approuvée sous réserve des recommandations suivantes :</w:t>
      </w:r>
    </w:p>
    <w:p w14:paraId="54BB34D0" w14:textId="542AE055" w:rsidR="00AF40B5" w:rsidRPr="008166D7" w:rsidRDefault="00813998" w:rsidP="00FE28E1">
      <w:pPr>
        <w:pStyle w:val="Paragraphedeliste"/>
        <w:widowControl/>
        <w:numPr>
          <w:ilvl w:val="1"/>
          <w:numId w:val="1"/>
        </w:numPr>
        <w:spacing w:before="120" w:after="120" w:line="360" w:lineRule="auto"/>
        <w:ind w:left="1440" w:right="-14"/>
        <w:rPr>
          <w:sz w:val="24"/>
        </w:rPr>
      </w:pPr>
      <w:r w:rsidRPr="008166D7">
        <w:rPr>
          <w:rFonts w:eastAsia="Gadugi"/>
          <w:sz w:val="24"/>
          <w:lang w:bidi="fr-CA"/>
        </w:rPr>
        <w:t>Que les tarifs soient fixés de manière à percevoir 141,504 millions de dollars (c.-à-d. les besoins en revenus de 144,015 millions de dollars moins les revenus autres que ceux de l’électricité de 2,511 millions de dollars).</w:t>
      </w:r>
    </w:p>
    <w:p w14:paraId="7262C9C9" w14:textId="43D218E1" w:rsidR="00FE28E1" w:rsidRPr="008166D7" w:rsidRDefault="00813998" w:rsidP="00FE28E1">
      <w:pPr>
        <w:pStyle w:val="Paragraphedeliste"/>
        <w:widowControl/>
        <w:numPr>
          <w:ilvl w:val="1"/>
          <w:numId w:val="1"/>
        </w:numPr>
        <w:spacing w:before="120" w:after="120" w:line="360" w:lineRule="auto"/>
        <w:ind w:left="1440" w:right="-14"/>
        <w:rPr>
          <w:sz w:val="24"/>
        </w:rPr>
      </w:pPr>
      <w:r w:rsidRPr="008166D7">
        <w:rPr>
          <w:rFonts w:eastAsia="Gadugi"/>
          <w:sz w:val="24"/>
          <w:lang w:bidi="fr-CA"/>
        </w:rPr>
        <w:t>Que la SÉQ fasse au moins un tiers du chemin vers la couverture complète du co</w:t>
      </w:r>
      <w:r w:rsidR="008166D7">
        <w:rPr>
          <w:rFonts w:eastAsia="Gadugi"/>
          <w:sz w:val="24"/>
          <w:lang w:bidi="fr-CA"/>
        </w:rPr>
        <w:t>u</w:t>
      </w:r>
      <w:r w:rsidRPr="008166D7">
        <w:rPr>
          <w:rFonts w:eastAsia="Gadugi"/>
          <w:sz w:val="24"/>
          <w:lang w:bidi="fr-CA"/>
        </w:rPr>
        <w:t>t des recettes quant à la prime de puissance et les tarifs des clients De la même manière que la SÉQ a limité les augmentations pour les clients non</w:t>
      </w:r>
      <w:r w:rsidR="00563FA3">
        <w:rPr>
          <w:rFonts w:eastAsia="Gadugi"/>
          <w:sz w:val="24"/>
          <w:lang w:bidi="fr-CA"/>
        </w:rPr>
        <w:t xml:space="preserve"> </w:t>
      </w:r>
      <w:r w:rsidRPr="008166D7">
        <w:rPr>
          <w:rFonts w:eastAsia="Gadugi"/>
          <w:sz w:val="24"/>
          <w:lang w:bidi="fr-CA"/>
        </w:rPr>
        <w:t xml:space="preserve">gouvernementaux à 5,1 %, le CETES recommande que la SÉQ augmente la prime de puissance et les tarifs des clients de manière à limiter l’impact global sur la facturation à 5,1 % pour les classes tarifaires des clients non gouvernementaux. </w:t>
      </w:r>
    </w:p>
    <w:p w14:paraId="40E45F63" w14:textId="0468E7A2" w:rsidR="00CF082B" w:rsidRPr="008166D7" w:rsidRDefault="00813998" w:rsidP="002E087C">
      <w:pPr>
        <w:pStyle w:val="Paragraphedeliste"/>
        <w:widowControl/>
        <w:numPr>
          <w:ilvl w:val="1"/>
          <w:numId w:val="1"/>
        </w:numPr>
        <w:spacing w:before="120" w:line="360" w:lineRule="auto"/>
        <w:ind w:left="1440" w:right="259"/>
        <w:rPr>
          <w:sz w:val="24"/>
          <w:szCs w:val="24"/>
        </w:rPr>
      </w:pPr>
      <w:r w:rsidRPr="008166D7">
        <w:rPr>
          <w:rFonts w:eastAsia="Gadugi"/>
          <w:sz w:val="24"/>
          <w:lang w:bidi="fr-CA"/>
        </w:rPr>
        <w:t>Que la SÉQ crée des tarifs pour le client percepteur de taxes municipales et pour le client non percepteur de taxes municipales. Aux fins de la requête en majoration tarifaire générale, le ou les tarifs du client percepteur de taxes municipales pour la ville d’Iqaluit pourraient être déterminés de façon similaire au(x) tarif(s) non gouvernemental(aux).</w:t>
      </w:r>
    </w:p>
    <w:p w14:paraId="142C3F8B" w14:textId="77A5044C" w:rsidR="00CF082B" w:rsidRPr="008166D7" w:rsidRDefault="00813998" w:rsidP="002E087C">
      <w:pPr>
        <w:pStyle w:val="Paragraphedeliste"/>
        <w:widowControl/>
        <w:numPr>
          <w:ilvl w:val="1"/>
          <w:numId w:val="1"/>
        </w:numPr>
        <w:spacing w:before="120" w:line="360" w:lineRule="auto"/>
        <w:ind w:left="1440" w:right="259"/>
        <w:rPr>
          <w:sz w:val="24"/>
          <w:szCs w:val="24"/>
        </w:rPr>
      </w:pPr>
      <w:r w:rsidRPr="008166D7">
        <w:rPr>
          <w:rFonts w:eastAsia="Gadugi"/>
          <w:sz w:val="24"/>
          <w:lang w:bidi="fr-CA"/>
        </w:rPr>
        <w:t xml:space="preserve">Le CETES recommande que le nouveau tarif du client percepteur de taxes municipales connaisse la même augmentation de 5,1 % que tous les autres clients non gouvernementaux. Le CETES recommande également que les tarifs des autres clients gouvernementaux et des clients non percepteurs de taxes </w:t>
      </w:r>
      <w:r w:rsidRPr="008166D7">
        <w:rPr>
          <w:rFonts w:eastAsia="Gadugi"/>
          <w:sz w:val="24"/>
          <w:lang w:bidi="fr-CA"/>
        </w:rPr>
        <w:lastRenderedPageBreak/>
        <w:t xml:space="preserve">municipales soient ajustés afin de combler le manque à gagner qui résultera de la reclassification des clients gouvernementaux de la ville d’Iqaluit. </w:t>
      </w:r>
    </w:p>
    <w:p w14:paraId="008E8487" w14:textId="65039A05" w:rsidR="00CF082B" w:rsidRPr="008166D7" w:rsidRDefault="00813998" w:rsidP="002E087C">
      <w:pPr>
        <w:pStyle w:val="Paragraphedeliste"/>
        <w:widowControl/>
        <w:numPr>
          <w:ilvl w:val="1"/>
          <w:numId w:val="1"/>
        </w:numPr>
        <w:spacing w:before="120" w:line="360" w:lineRule="auto"/>
        <w:ind w:left="1440" w:right="259"/>
        <w:rPr>
          <w:sz w:val="24"/>
          <w:szCs w:val="24"/>
        </w:rPr>
      </w:pPr>
      <w:r w:rsidRPr="008166D7">
        <w:rPr>
          <w:rFonts w:eastAsia="Gadugi"/>
          <w:sz w:val="24"/>
          <w:lang w:bidi="fr-CA"/>
        </w:rPr>
        <w:t>Que, dans le cas où la SÉQ ne crée pas de tarifs pour les clients percepteurs de taxes municipales et les clients non percepteurs de taxes municipales, le manque à gagner créé par la reclassification de la ville d</w:t>
      </w:r>
      <w:r w:rsidR="00296C2D">
        <w:rPr>
          <w:rFonts w:eastAsia="Gadugi"/>
          <w:sz w:val="24"/>
          <w:lang w:bidi="fr-CA"/>
        </w:rPr>
        <w:t>’</w:t>
      </w:r>
      <w:r w:rsidRPr="008166D7">
        <w:rPr>
          <w:rFonts w:eastAsia="Gadugi"/>
          <w:sz w:val="24"/>
          <w:lang w:bidi="fr-CA"/>
        </w:rPr>
        <w:t>Iqaluit soit attribué à tous les autres comptes gouvernementaux selon la méthode proposée par la SÉQ.</w:t>
      </w:r>
    </w:p>
    <w:p w14:paraId="767ED807" w14:textId="06D147E5" w:rsidR="00CF082B" w:rsidRPr="008166D7" w:rsidRDefault="00813998" w:rsidP="002E087C">
      <w:pPr>
        <w:pStyle w:val="Paragraphedeliste"/>
        <w:widowControl/>
        <w:numPr>
          <w:ilvl w:val="1"/>
          <w:numId w:val="1"/>
        </w:numPr>
        <w:spacing w:before="120" w:after="240" w:line="360" w:lineRule="auto"/>
        <w:ind w:left="1440" w:right="259"/>
        <w:rPr>
          <w:sz w:val="24"/>
          <w:szCs w:val="24"/>
        </w:rPr>
      </w:pPr>
      <w:r w:rsidRPr="008166D7">
        <w:rPr>
          <w:rFonts w:eastAsia="Gadugi"/>
          <w:sz w:val="24"/>
          <w:lang w:bidi="fr-CA"/>
        </w:rPr>
        <w:t>Que la SÉQ surveille les répercussions de la transition proposée vers des tarifs à l</w:t>
      </w:r>
      <w:r w:rsidR="00296C2D">
        <w:rPr>
          <w:rFonts w:eastAsia="Gadugi"/>
          <w:sz w:val="24"/>
          <w:lang w:bidi="fr-CA"/>
        </w:rPr>
        <w:t>’</w:t>
      </w:r>
      <w:r w:rsidRPr="008166D7">
        <w:rPr>
          <w:rFonts w:eastAsia="Gadugi"/>
          <w:sz w:val="24"/>
          <w:lang w:bidi="fr-CA"/>
        </w:rPr>
        <w:t>échelle du Nunavut (y compris la reclassification des comptes de la ville d</w:t>
      </w:r>
      <w:r w:rsidR="00296C2D">
        <w:rPr>
          <w:rFonts w:eastAsia="Gadugi"/>
          <w:sz w:val="24"/>
          <w:lang w:bidi="fr-CA"/>
        </w:rPr>
        <w:t>’</w:t>
      </w:r>
      <w:r w:rsidRPr="008166D7">
        <w:rPr>
          <w:rFonts w:eastAsia="Gadugi"/>
          <w:sz w:val="24"/>
          <w:lang w:bidi="fr-CA"/>
        </w:rPr>
        <w:t>Iqaluit) et qu</w:t>
      </w:r>
      <w:r w:rsidR="00296C2D">
        <w:rPr>
          <w:rFonts w:eastAsia="Gadugi"/>
          <w:sz w:val="24"/>
          <w:lang w:bidi="fr-CA"/>
        </w:rPr>
        <w:t>’</w:t>
      </w:r>
      <w:r w:rsidRPr="008166D7">
        <w:rPr>
          <w:rFonts w:eastAsia="Gadugi"/>
          <w:sz w:val="24"/>
          <w:lang w:bidi="fr-CA"/>
        </w:rPr>
        <w:t>elle réévalue la situation en fonction de la réponse du gouvernement du Nunavut et/ou des changements apportés à la façon dont il finance les hameaux. De plus, si des résultats indésirables sont observés, la SÉQ présentera une demande pour remédier à ces impacts.</w:t>
      </w:r>
    </w:p>
    <w:p w14:paraId="7262C9D1" w14:textId="77777777" w:rsidR="003033C6" w:rsidRPr="008166D7" w:rsidRDefault="00813998" w:rsidP="00915AE1">
      <w:pPr>
        <w:pStyle w:val="Corpsdetexte"/>
        <w:keepNext/>
        <w:keepLines/>
        <w:numPr>
          <w:ilvl w:val="0"/>
          <w:numId w:val="0"/>
        </w:numPr>
        <w:spacing w:line="240" w:lineRule="auto"/>
        <w:ind w:left="1080"/>
        <w:rPr>
          <w:b/>
          <w:bCs/>
        </w:rPr>
      </w:pPr>
      <w:r w:rsidRPr="008166D7">
        <w:rPr>
          <w:rFonts w:eastAsia="Gadugi"/>
          <w:b/>
          <w:lang w:bidi="fr-CA"/>
        </w:rPr>
        <w:t>Futures RMTG et recommandations générales</w:t>
      </w:r>
    </w:p>
    <w:p w14:paraId="7262C9D2" w14:textId="0405F26A" w:rsidR="00425E2E"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dans les futures RMTG, la SÉQ fournisse plus d’informations sur les autres facteurs qu’elle a examinés pour déterminer si des ajustements ont été pris en compte et/ou apportés aux prévisions relatives à la demande de base des clients pour toute collectivité.</w:t>
      </w:r>
    </w:p>
    <w:p w14:paraId="7262C9D3" w14:textId="5577B39A" w:rsidR="00836B2F"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 xml:space="preserve">Que dans la prochaine RMTG, la SÉQ fournisse une analyse ou une évaluation quantitative plus détaillée des facteurs qui ont une incidence sur l’utilisation par client. </w:t>
      </w:r>
    </w:p>
    <w:p w14:paraId="7262C9D4" w14:textId="490184C0" w:rsidR="006E3C8C"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dans la prochaine RMTG, la SÉQ fournisse des détails concernant ses exigences en matière de rapports sur les obligations liées à la mise hors service d’immobilisations à la suite des travaux sur la norme SP3280.</w:t>
      </w:r>
    </w:p>
    <w:p w14:paraId="7262C9D5" w14:textId="4F962C2F" w:rsidR="00793182"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dans la prochaine RMTG, la SÉQ fournisse une mise à jour de l’étude sur les amortissements.</w:t>
      </w:r>
    </w:p>
    <w:p w14:paraId="7262C9D6" w14:textId="3FD2C879" w:rsidR="006E3C8C"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dans la prochaine RMTG, la SÉQ fournisse des prévisions à long terme de ses obligations en matière de dette et de son plan de financement.</w:t>
      </w:r>
    </w:p>
    <w:p w14:paraId="7262C9D7" w14:textId="2F34672D" w:rsidR="006E3C8C"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lastRenderedPageBreak/>
        <w:t>Que dans les prochaines RMTG, la SÉQ fournisse davantage d’informations, notamment en ce qui concerne les grands projets d’immobilisations qui entra</w:t>
      </w:r>
      <w:r w:rsidR="00296C2D">
        <w:rPr>
          <w:rFonts w:eastAsia="Gadugi"/>
          <w:sz w:val="24"/>
          <w:lang w:bidi="fr-CA"/>
        </w:rPr>
        <w:t>i</w:t>
      </w:r>
      <w:r w:rsidRPr="008166D7">
        <w:rPr>
          <w:rFonts w:eastAsia="Gadugi"/>
          <w:sz w:val="24"/>
          <w:lang w:bidi="fr-CA"/>
        </w:rPr>
        <w:t>neront la mise hors service, le retrait et la remise en état d’anciens sites et actifs.</w:t>
      </w:r>
    </w:p>
    <w:p w14:paraId="7262C9D8" w14:textId="1E3EF361" w:rsidR="005D5440"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dans sa prochaine RMTG, le SÉQ fournisse une validation ou un examen de l’étude des délais de paiement et de la détermination du fonds de roulement.</w:t>
      </w:r>
    </w:p>
    <w:p w14:paraId="7262C9D9" w14:textId="0375C998" w:rsidR="00B90924"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dans les prochaines RMTG, la SÉQ envisage de subdiviser ses classes tarifaires existantes si, par exemple, l’écart entre les clients dont la consommation est faible et ceux dont la consommation est élevée constitue un obstacle à la modification des tarifs existants.</w:t>
      </w:r>
    </w:p>
    <w:p w14:paraId="7262C9DA" w14:textId="711A75DF" w:rsidR="001A1E80" w:rsidRPr="008166D7" w:rsidRDefault="00813998" w:rsidP="005C2F90">
      <w:pPr>
        <w:pStyle w:val="Paragraphedeliste"/>
        <w:widowControl/>
        <w:numPr>
          <w:ilvl w:val="1"/>
          <w:numId w:val="1"/>
        </w:numPr>
        <w:spacing w:after="120" w:line="360" w:lineRule="auto"/>
        <w:ind w:left="1440" w:right="-10"/>
        <w:rPr>
          <w:sz w:val="24"/>
          <w:szCs w:val="24"/>
        </w:rPr>
      </w:pPr>
      <w:r w:rsidRPr="008166D7">
        <w:rPr>
          <w:rFonts w:eastAsia="Gadugi"/>
          <w:sz w:val="24"/>
          <w:lang w:bidi="fr-CA"/>
        </w:rPr>
        <w:t xml:space="preserve">Que la SÉQ envisage d’améliorer ses systèmes de facturation et de traitement des paiements. </w:t>
      </w:r>
    </w:p>
    <w:p w14:paraId="7262C9DB" w14:textId="77777777" w:rsidR="00550F29" w:rsidRPr="008166D7" w:rsidRDefault="00813998" w:rsidP="001A1E80">
      <w:pPr>
        <w:pStyle w:val="Paragraphedeliste"/>
        <w:widowControl/>
        <w:numPr>
          <w:ilvl w:val="1"/>
          <w:numId w:val="1"/>
        </w:numPr>
        <w:spacing w:after="120" w:line="360" w:lineRule="auto"/>
        <w:ind w:left="1440" w:right="-10"/>
        <w:rPr>
          <w:sz w:val="24"/>
          <w:szCs w:val="24"/>
        </w:rPr>
      </w:pPr>
      <w:r w:rsidRPr="008166D7">
        <w:rPr>
          <w:rFonts w:eastAsia="Gadugi"/>
          <w:sz w:val="24"/>
          <w:lang w:bidi="fr-CA"/>
        </w:rPr>
        <w:t>Le CETES recommande que la SÉQ invite ses clients à approfondir leurs connaissances en matière d’énergie et à améliorer sa facturation afin qu’elle soit plus lisible et plus conviviale.</w:t>
      </w:r>
    </w:p>
    <w:p w14:paraId="7262C9DC" w14:textId="1D6D6408" w:rsidR="00550F29"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la SÉQ augmente sa surveillance pour aider à déterminer les habitudes de consommation des clients qui sont sensiblement différentes de la norme pour un client particulier ou par rapport aux autres clients ou aux consommateurs d’énergie moyens.</w:t>
      </w:r>
    </w:p>
    <w:p w14:paraId="7262C9DD" w14:textId="30383D74" w:rsidR="00550F29"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 xml:space="preserve">Que la SÉQ explore des méthodes pour éviter que les clients fournissent des informations sur leur carte de crédit par téléphone, par courriel ou sur un formulaire non sécurisé pour la facturation automatique. </w:t>
      </w:r>
    </w:p>
    <w:p w14:paraId="7262C9DE" w14:textId="2DED6BB8" w:rsidR="00550F29"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le ministre responsable et la SÉQ élaborent un mécanisme permettant d’exprimer et de gérer les préoccupations/plaintes relatives à la facturation, au crédit et aux paiements, indépendamment des procédures de la RMTG.</w:t>
      </w:r>
    </w:p>
    <w:p w14:paraId="7262C9DF" w14:textId="5D4FF5B4" w:rsidR="001A1E80" w:rsidRPr="008166D7" w:rsidRDefault="00813998" w:rsidP="008E66D1">
      <w:pPr>
        <w:pStyle w:val="Paragraphedeliste"/>
        <w:widowControl/>
        <w:numPr>
          <w:ilvl w:val="1"/>
          <w:numId w:val="1"/>
        </w:numPr>
        <w:spacing w:after="120" w:line="360" w:lineRule="auto"/>
        <w:ind w:left="1440" w:right="-10"/>
        <w:rPr>
          <w:sz w:val="24"/>
          <w:szCs w:val="24"/>
        </w:rPr>
      </w:pPr>
      <w:r w:rsidRPr="008166D7">
        <w:rPr>
          <w:rFonts w:eastAsia="Gadugi"/>
          <w:sz w:val="24"/>
          <w:lang w:bidi="fr-CA"/>
        </w:rPr>
        <w:t>Que, jusqu’à ce que les demandes de PÉCI/PÉI soient déposées, le ministre responsable et la SÉQ élaborent un mécanisme permettant d’exprimer et de gérer ce type de préoccupations, indépendamment de la RMTG.</w:t>
      </w:r>
    </w:p>
    <w:p w14:paraId="7262C9E0" w14:textId="1C05D29A" w:rsidR="00550F29" w:rsidRPr="008166D7" w:rsidRDefault="00813998" w:rsidP="002A15D9">
      <w:pPr>
        <w:pStyle w:val="Corpsdetexte"/>
        <w:ind w:hanging="540"/>
      </w:pPr>
      <w:r w:rsidRPr="008166D7">
        <w:rPr>
          <w:rFonts w:eastAsia="Gadugi"/>
          <w:lang w:bidi="fr-CA"/>
        </w:rPr>
        <w:lastRenderedPageBreak/>
        <w:t>Que les rapports annuels, y compris les calendriers r</w:t>
      </w:r>
      <w:r w:rsidR="008166D7">
        <w:rPr>
          <w:rFonts w:eastAsia="Gadugi"/>
          <w:lang w:bidi="fr-CA"/>
        </w:rPr>
        <w:t>è</w:t>
      </w:r>
      <w:r w:rsidRPr="008166D7">
        <w:rPr>
          <w:rFonts w:eastAsia="Gadugi"/>
          <w:lang w:bidi="fr-CA"/>
        </w:rPr>
        <w:t>glementaires (similaires à ce qui a été soumis dans les annexes 3.1 à 6.4 de la RMTG), les renseignements relatifs à IDMIS/IFMIS, ainsi que les niveaux de dotation (ETP et postes vacants) et d’autres renseignements d’importance r</w:t>
      </w:r>
      <w:r w:rsidR="008166D7">
        <w:rPr>
          <w:rFonts w:eastAsia="Gadugi"/>
          <w:lang w:bidi="fr-CA"/>
        </w:rPr>
        <w:t>è</w:t>
      </w:r>
      <w:r w:rsidRPr="008166D7">
        <w:rPr>
          <w:rFonts w:eastAsia="Gadugi"/>
          <w:lang w:bidi="fr-CA"/>
        </w:rPr>
        <w:t xml:space="preserve">glementaire, commencent après la fin de l’exercice financier 2022-2023. Le CETES ordonne que les rapports soient soumis dans les 180 jours suivant la fin de l’exercice financier à des fins d’information, conformément aux </w:t>
      </w:r>
      <w:r w:rsidRPr="008166D7">
        <w:rPr>
          <w:rFonts w:eastAsia="Gadugi"/>
          <w:i/>
          <w:lang w:bidi="fr-CA"/>
        </w:rPr>
        <w:t xml:space="preserve">Règles de procédure et de pratique et lignes directrices des taux </w:t>
      </w:r>
      <w:r w:rsidRPr="008166D7">
        <w:rPr>
          <w:rFonts w:eastAsia="Gadugi"/>
          <w:lang w:bidi="fr-CA"/>
        </w:rPr>
        <w:t>(mars 2007, page 16). </w:t>
      </w:r>
    </w:p>
    <w:p w14:paraId="7262C9E1" w14:textId="77777777" w:rsidR="009164D9" w:rsidRPr="008166D7" w:rsidRDefault="00813998" w:rsidP="002739EB">
      <w:pPr>
        <w:pStyle w:val="Corpsdetexte"/>
        <w:keepNext/>
        <w:keepLines/>
        <w:ind w:hanging="533"/>
      </w:pPr>
      <w:r w:rsidRPr="008166D7">
        <w:rPr>
          <w:rFonts w:eastAsia="Gadugi"/>
          <w:lang w:bidi="fr-CA"/>
        </w:rPr>
        <w:t>Le présent rapport ne porte d’aucune manière atteinte à la capacité du CETES d’examiner d’autres questions ayant trait à la SÉQ.</w:t>
      </w:r>
    </w:p>
    <w:p w14:paraId="7262C9E2" w14:textId="77777777" w:rsidR="0054700B" w:rsidRPr="008166D7" w:rsidRDefault="0054700B" w:rsidP="002739EB">
      <w:pPr>
        <w:pStyle w:val="Corpsdetexte"/>
        <w:keepNext/>
        <w:keepLines/>
        <w:numPr>
          <w:ilvl w:val="0"/>
          <w:numId w:val="0"/>
        </w:numPr>
        <w:ind w:left="1094"/>
      </w:pPr>
    </w:p>
    <w:p w14:paraId="7262C9E3" w14:textId="77777777" w:rsidR="009164D9" w:rsidRPr="008166D7" w:rsidRDefault="00813998" w:rsidP="002739EB">
      <w:pPr>
        <w:keepNext/>
        <w:keepLines/>
        <w:widowControl/>
        <w:ind w:left="211"/>
        <w:jc w:val="center"/>
        <w:rPr>
          <w:b/>
          <w:sz w:val="24"/>
        </w:rPr>
      </w:pPr>
      <w:bookmarkStart w:id="22" w:name="Chair's_Signature_February_5,_2020"/>
      <w:bookmarkEnd w:id="22"/>
      <w:r w:rsidRPr="008166D7">
        <w:rPr>
          <w:rFonts w:eastAsia="Gadugi"/>
          <w:b/>
          <w:sz w:val="24"/>
          <w:lang w:bidi="fr-CA"/>
        </w:rPr>
        <w:t>AU NOM DU</w:t>
      </w:r>
    </w:p>
    <w:p w14:paraId="7262C9E4" w14:textId="77777777" w:rsidR="009164D9" w:rsidRPr="008166D7" w:rsidRDefault="00813998" w:rsidP="002739EB">
      <w:pPr>
        <w:keepNext/>
        <w:keepLines/>
        <w:widowControl/>
        <w:jc w:val="center"/>
        <w:rPr>
          <w:b/>
          <w:sz w:val="24"/>
        </w:rPr>
      </w:pPr>
      <w:r w:rsidRPr="008166D7">
        <w:rPr>
          <w:rFonts w:eastAsia="Gadugi"/>
          <w:b/>
          <w:sz w:val="24"/>
          <w:lang w:bidi="fr-CA"/>
        </w:rPr>
        <w:t>CONSEIL D’EXAMEN DES TAUX DES ENTREPRISES DE SERVICES DU NUNAVUT</w:t>
      </w:r>
    </w:p>
    <w:p w14:paraId="7262C9E5" w14:textId="77777777" w:rsidR="007F21DF" w:rsidRPr="008166D7" w:rsidRDefault="007F21DF" w:rsidP="002739EB">
      <w:pPr>
        <w:keepNext/>
        <w:keepLines/>
        <w:widowControl/>
        <w:rPr>
          <w:noProof/>
        </w:rPr>
      </w:pPr>
    </w:p>
    <w:p w14:paraId="7262C9E6" w14:textId="77777777" w:rsidR="007F21DF" w:rsidRPr="008166D7" w:rsidRDefault="007F21DF" w:rsidP="002739EB">
      <w:pPr>
        <w:keepNext/>
        <w:keepLines/>
        <w:widowControl/>
        <w:rPr>
          <w:noProof/>
        </w:rPr>
      </w:pPr>
    </w:p>
    <w:p w14:paraId="7262C9E7" w14:textId="32AF5C62" w:rsidR="007F21DF" w:rsidRPr="008166D7" w:rsidRDefault="00B441D7" w:rsidP="002739EB">
      <w:pPr>
        <w:keepNext/>
        <w:keepLines/>
        <w:widowControl/>
        <w:rPr>
          <w:noProof/>
        </w:rPr>
      </w:pPr>
      <w:r w:rsidRPr="008166D7">
        <w:rPr>
          <w:rFonts w:eastAsia="Gadugi"/>
          <w:noProof/>
          <w:lang w:bidi="fr-CA"/>
        </w:rPr>
        <w:drawing>
          <wp:inline distT="0" distB="0" distL="0" distR="0" wp14:anchorId="0C77F6A5" wp14:editId="7AB47CB9">
            <wp:extent cx="2286000" cy="635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2">
                      <a:extLst>
                        <a:ext uri="{28A0092B-C50C-407E-A947-70E740481C1C}">
                          <a14:useLocalDpi xmlns:a14="http://schemas.microsoft.com/office/drawing/2010/main" val="0"/>
                        </a:ext>
                      </a:extLst>
                    </a:blip>
                    <a:stretch>
                      <a:fillRect/>
                    </a:stretch>
                  </pic:blipFill>
                  <pic:spPr>
                    <a:xfrm>
                      <a:off x="0" y="0"/>
                      <a:ext cx="2286000" cy="635000"/>
                    </a:xfrm>
                    <a:prstGeom prst="rect">
                      <a:avLst/>
                    </a:prstGeom>
                  </pic:spPr>
                </pic:pic>
              </a:graphicData>
            </a:graphic>
          </wp:inline>
        </w:drawing>
      </w:r>
    </w:p>
    <w:p w14:paraId="7262C9E8" w14:textId="77777777" w:rsidR="00BF2FCD" w:rsidRPr="008166D7" w:rsidRDefault="00BF2FCD" w:rsidP="002739EB">
      <w:pPr>
        <w:keepNext/>
        <w:keepLines/>
        <w:widowControl/>
      </w:pPr>
    </w:p>
    <w:p w14:paraId="7262C9E9" w14:textId="77777777" w:rsidR="009164D9" w:rsidRPr="008166D7" w:rsidRDefault="00813998" w:rsidP="002739EB">
      <w:pPr>
        <w:keepNext/>
        <w:keepLines/>
        <w:widowControl/>
      </w:pPr>
      <w:r w:rsidRPr="008166D7">
        <w:rPr>
          <w:rFonts w:eastAsia="Gadugi"/>
          <w:noProof/>
          <w:lang w:bidi="fr-CA"/>
        </w:rPr>
        <mc:AlternateContent>
          <mc:Choice Requires="wps">
            <w:drawing>
              <wp:anchor distT="0" distB="0" distL="0" distR="0" simplePos="0" relativeHeight="251660288" behindDoc="1" locked="0" layoutInCell="1" allowOverlap="1" wp14:anchorId="09865DE6" wp14:editId="192D5221">
                <wp:simplePos x="0" y="0"/>
                <wp:positionH relativeFrom="page">
                  <wp:posOffset>6127750</wp:posOffset>
                </wp:positionH>
                <wp:positionV relativeFrom="paragraph">
                  <wp:posOffset>1603375</wp:posOffset>
                </wp:positionV>
                <wp:extent cx="12700" cy="12700"/>
                <wp:effectExtent l="0" t="0" r="0" b="0"/>
                <wp:wrapTopAndBottom/>
                <wp:docPr id="10096856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352DA" id="Line 2"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5pt,126.25pt" to="483.5pt,1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">
                <w10:wrap type="topAndBottom" anchorx="page"/>
              </v:line>
            </w:pict>
          </mc:Fallback>
        </mc:AlternateContent>
      </w:r>
    </w:p>
    <w:p w14:paraId="7262C9EA" w14:textId="25BFE39A" w:rsidR="009164D9" w:rsidRPr="008166D7" w:rsidRDefault="00813998" w:rsidP="00246806">
      <w:pPr>
        <w:keepNext/>
        <w:keepLines/>
        <w:widowControl/>
        <w:spacing w:before="131"/>
        <w:ind w:left="5940"/>
        <w:jc w:val="right"/>
        <w:rPr>
          <w:b/>
          <w:sz w:val="24"/>
        </w:rPr>
      </w:pPr>
      <w:r w:rsidRPr="008166D7">
        <w:rPr>
          <w:rFonts w:eastAsia="Gadugi"/>
          <w:b/>
          <w:sz w:val="24"/>
          <w:lang w:bidi="fr-CA"/>
        </w:rPr>
        <w:t>EN DATE DU 18 ao</w:t>
      </w:r>
      <w:r w:rsidR="008166D7">
        <w:rPr>
          <w:rFonts w:eastAsia="Gadugi"/>
          <w:b/>
          <w:sz w:val="24"/>
          <w:lang w:bidi="fr-CA"/>
        </w:rPr>
        <w:t>u</w:t>
      </w:r>
      <w:r w:rsidRPr="008166D7">
        <w:rPr>
          <w:rFonts w:eastAsia="Gadugi"/>
          <w:b/>
          <w:sz w:val="24"/>
          <w:lang w:bidi="fr-CA"/>
        </w:rPr>
        <w:t>t 2022</w:t>
      </w:r>
    </w:p>
    <w:p w14:paraId="7262C9EB" w14:textId="77777777" w:rsidR="009164D9" w:rsidRPr="008166D7" w:rsidRDefault="009164D9" w:rsidP="00246806">
      <w:pPr>
        <w:keepNext/>
        <w:keepLines/>
        <w:widowControl/>
      </w:pPr>
    </w:p>
    <w:p w14:paraId="7262C9EC" w14:textId="5F158C88" w:rsidR="00DA09AA" w:rsidRPr="008166D7" w:rsidRDefault="00813998" w:rsidP="00246806">
      <w:pPr>
        <w:keepNext/>
        <w:keepLines/>
        <w:widowControl/>
        <w:ind w:left="5357" w:right="-14" w:firstLine="943"/>
        <w:jc w:val="right"/>
        <w:rPr>
          <w:b/>
          <w:spacing w:val="-4"/>
          <w:sz w:val="24"/>
        </w:rPr>
      </w:pPr>
      <w:r w:rsidRPr="008166D7">
        <w:rPr>
          <w:rFonts w:eastAsia="Gadugi"/>
          <w:b/>
          <w:sz w:val="24"/>
          <w:lang w:bidi="fr-CA"/>
        </w:rPr>
        <w:t>Graham Lock, vice-président</w:t>
      </w:r>
    </w:p>
    <w:p w14:paraId="7262C9ED" w14:textId="77777777" w:rsidR="009164D9" w:rsidRPr="008166D7" w:rsidRDefault="00813998" w:rsidP="00246806">
      <w:pPr>
        <w:keepNext/>
        <w:keepLines/>
        <w:widowControl/>
        <w:ind w:left="5130" w:right="-14"/>
        <w:jc w:val="right"/>
        <w:rPr>
          <w:b/>
          <w:sz w:val="24"/>
        </w:rPr>
      </w:pPr>
      <w:r w:rsidRPr="008166D7">
        <w:rPr>
          <w:rFonts w:eastAsia="Gadugi"/>
          <w:b/>
          <w:sz w:val="24"/>
          <w:lang w:bidi="fr-CA"/>
        </w:rPr>
        <w:t>Conseil d’examen des taux des entreprises de service du Nunavut</w:t>
      </w:r>
    </w:p>
    <w:p w14:paraId="7262C9EE" w14:textId="77777777" w:rsidR="0018286E" w:rsidRPr="008166D7" w:rsidRDefault="00813998" w:rsidP="0018286E">
      <w:pPr>
        <w:pStyle w:val="QECSchedule"/>
        <w:jc w:val="left"/>
        <w:rPr>
          <w:rFonts w:ascii="Times New Roman" w:hAnsi="Times New Roman" w:cs="Times New Roman"/>
          <w:lang w:val="fr-FR"/>
        </w:rPr>
      </w:pPr>
      <w:r w:rsidRPr="008166D7">
        <w:rPr>
          <w:rFonts w:ascii="Times New Roman" w:eastAsia="Gadugi" w:hAnsi="Times New Roman" w:cs="Times New Roman"/>
          <w:lang w:val="fr-CA" w:bidi="fr-CA"/>
        </w:rPr>
        <w:br w:type="page"/>
      </w:r>
    </w:p>
    <w:p w14:paraId="774A12F5" w14:textId="2CC0A5EA" w:rsidR="005709EC" w:rsidRPr="008166D7" w:rsidRDefault="00813998" w:rsidP="003E4B68">
      <w:pPr>
        <w:pStyle w:val="Heading2URRC"/>
        <w:numPr>
          <w:ilvl w:val="0"/>
          <w:numId w:val="0"/>
        </w:numPr>
        <w:rPr>
          <w:rFonts w:ascii="Times New Roman" w:hAnsi="Times New Roman"/>
          <w:vanish/>
          <w:lang w:val="en-US"/>
        </w:rPr>
      </w:pPr>
      <w:r w:rsidRPr="008166D7">
        <w:rPr>
          <w:rFonts w:ascii="Times New Roman" w:hAnsi="Times New Roman"/>
          <w:caps w:val="0"/>
          <w:vanish/>
          <w:lang w:val="en-US"/>
        </w:rPr>
        <w:lastRenderedPageBreak/>
        <w:t xml:space="preserve">APPENDIX A – CITY OF IQALUIT SUBMISSION </w:t>
      </w:r>
    </w:p>
    <w:p w14:paraId="10D3A857" w14:textId="0BE09352" w:rsidR="00C538D7" w:rsidRPr="008166D7" w:rsidRDefault="00813998" w:rsidP="00CB56FB">
      <w:pPr>
        <w:jc w:val="center"/>
        <w:rPr>
          <w:vanish/>
        </w:rPr>
      </w:pPr>
      <w:r w:rsidRPr="008166D7">
        <w:rPr>
          <w:noProof/>
          <w:vanish/>
        </w:rPr>
        <w:drawing>
          <wp:inline distT="0" distB="0" distL="0" distR="0" wp14:anchorId="0DA91256" wp14:editId="2A31345A">
            <wp:extent cx="5905311" cy="76390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33199" name="Picture 9"/>
                    <pic:cNvPicPr/>
                  </pic:nvPicPr>
                  <pic:blipFill>
                    <a:blip r:embed="rId36">
                      <a:extLst>
                        <a:ext uri="{28A0092B-C50C-407E-A947-70E740481C1C}">
                          <a14:useLocalDpi xmlns:a14="http://schemas.microsoft.com/office/drawing/2010/main" val="0"/>
                        </a:ext>
                      </a:extLst>
                    </a:blip>
                    <a:stretch>
                      <a:fillRect/>
                    </a:stretch>
                  </pic:blipFill>
                  <pic:spPr>
                    <a:xfrm>
                      <a:off x="0" y="0"/>
                      <a:ext cx="5905311" cy="7639050"/>
                    </a:xfrm>
                    <a:prstGeom prst="rect">
                      <a:avLst/>
                    </a:prstGeom>
                  </pic:spPr>
                </pic:pic>
              </a:graphicData>
            </a:graphic>
          </wp:inline>
        </w:drawing>
      </w:r>
      <w:r w:rsidRPr="008166D7">
        <w:rPr>
          <w:noProof/>
          <w:vanish/>
        </w:rPr>
        <w:drawing>
          <wp:inline distT="0" distB="0" distL="0" distR="0" wp14:anchorId="3CB239A3" wp14:editId="1C59ECFF">
            <wp:extent cx="5943600" cy="7691755"/>
            <wp:effectExtent l="0" t="0" r="0" b="444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0213" name="Picture 11" descr="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8166D7">
        <w:rPr>
          <w:noProof/>
          <w:vanish/>
        </w:rPr>
        <w:drawing>
          <wp:inline distT="0" distB="0" distL="0" distR="0" wp14:anchorId="40E5B0C1" wp14:editId="46BAA5D8">
            <wp:extent cx="5943600" cy="7691755"/>
            <wp:effectExtent l="0" t="0" r="0" b="4445"/>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68524" name="Picture 12"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8CCD1D" w14:textId="3628FD97" w:rsidR="00760A71" w:rsidRPr="008166D7" w:rsidRDefault="00813998">
      <w:pPr>
        <w:rPr>
          <w:vanish/>
        </w:rPr>
      </w:pPr>
      <w:r w:rsidRPr="008166D7">
        <w:rPr>
          <w:vanish/>
        </w:rPr>
        <w:br w:type="page"/>
      </w:r>
    </w:p>
    <w:p w14:paraId="0525823C" w14:textId="542FA76D" w:rsidR="00310085" w:rsidRPr="008166D7" w:rsidRDefault="00813998" w:rsidP="0012255F">
      <w:pPr>
        <w:pStyle w:val="Heading2URRC"/>
        <w:numPr>
          <w:ilvl w:val="0"/>
          <w:numId w:val="0"/>
        </w:numPr>
        <w:spacing w:after="0"/>
        <w:rPr>
          <w:rFonts w:ascii="Times New Roman" w:hAnsi="Times New Roman"/>
          <w:vanish/>
          <w:lang w:val="en-US"/>
        </w:rPr>
      </w:pPr>
      <w:r w:rsidRPr="008166D7">
        <w:rPr>
          <w:rFonts w:ascii="Times New Roman" w:hAnsi="Times New Roman"/>
          <w:caps w:val="0"/>
          <w:vanish/>
          <w:lang w:val="en-US"/>
        </w:rPr>
        <w:t xml:space="preserve">APPENDIX B – QEC RESPONSE TO THE CITY OF IQALUIT </w:t>
      </w:r>
    </w:p>
    <w:p w14:paraId="1771D5D8" w14:textId="0BF1CE9F" w:rsidR="00310085" w:rsidRPr="008166D7" w:rsidRDefault="00813998" w:rsidP="0012255F">
      <w:pPr>
        <w:ind w:left="-360"/>
        <w:rPr>
          <w:caps/>
          <w:vanish/>
        </w:rPr>
      </w:pPr>
      <w:r w:rsidRPr="008166D7">
        <w:rPr>
          <w:caps/>
          <w:noProof/>
          <w:vanish/>
        </w:rPr>
        <w:drawing>
          <wp:inline distT="0" distB="0" distL="0" distR="0" wp14:anchorId="01791F1F" wp14:editId="1EAB9EF6">
            <wp:extent cx="6322445" cy="7534275"/>
            <wp:effectExtent l="0" t="0" r="254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34053" name="Picture 13" descr="Text, letter&#10;&#10;Description automatically generated"/>
                    <pic:cNvPicPr/>
                  </pic:nvPicPr>
                  <pic:blipFill>
                    <a:blip r:embed="rId39">
                      <a:extLst>
                        <a:ext uri="{28A0092B-C50C-407E-A947-70E740481C1C}">
                          <a14:useLocalDpi xmlns:a14="http://schemas.microsoft.com/office/drawing/2010/main" val="0"/>
                        </a:ext>
                      </a:extLst>
                    </a:blip>
                    <a:srcRect b="7917"/>
                    <a:stretch>
                      <a:fillRect/>
                    </a:stretch>
                  </pic:blipFill>
                  <pic:spPr bwMode="auto">
                    <a:xfrm>
                      <a:off x="0" y="0"/>
                      <a:ext cx="6326678" cy="7539320"/>
                    </a:xfrm>
                    <a:prstGeom prst="rect">
                      <a:avLst/>
                    </a:prstGeom>
                    <a:ln>
                      <a:noFill/>
                    </a:ln>
                    <a:extLst>
                      <a:ext uri="{53640926-AAD7-44D8-BBD7-CCE9431645EC}">
                        <a14:shadowObscured xmlns:a14="http://schemas.microsoft.com/office/drawing/2010/main"/>
                      </a:ext>
                    </a:extLst>
                  </pic:spPr>
                </pic:pic>
              </a:graphicData>
            </a:graphic>
          </wp:inline>
        </w:drawing>
      </w:r>
      <w:r w:rsidRPr="008166D7">
        <w:rPr>
          <w:caps/>
          <w:noProof/>
          <w:vanish/>
        </w:rPr>
        <w:drawing>
          <wp:inline distT="0" distB="0" distL="0" distR="0" wp14:anchorId="38FE0DC6" wp14:editId="05633212">
            <wp:extent cx="6322636" cy="7467600"/>
            <wp:effectExtent l="0" t="0" r="254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29258" name="Picture 14" descr="Text, letter&#10;&#10;Description automatically generated"/>
                    <pic:cNvPicPr/>
                  </pic:nvPicPr>
                  <pic:blipFill>
                    <a:blip r:embed="rId40" cstate="print">
                      <a:extLst>
                        <a:ext uri="{28A0092B-C50C-407E-A947-70E740481C1C}">
                          <a14:useLocalDpi xmlns:a14="http://schemas.microsoft.com/office/drawing/2010/main" val="0"/>
                        </a:ext>
                      </a:extLst>
                    </a:blip>
                    <a:srcRect t="5079" b="3657"/>
                    <a:stretch>
                      <a:fillRect/>
                    </a:stretch>
                  </pic:blipFill>
                  <pic:spPr bwMode="auto">
                    <a:xfrm>
                      <a:off x="0" y="0"/>
                      <a:ext cx="6324523" cy="7469829"/>
                    </a:xfrm>
                    <a:prstGeom prst="rect">
                      <a:avLst/>
                    </a:prstGeom>
                    <a:ln>
                      <a:noFill/>
                    </a:ln>
                    <a:extLst>
                      <a:ext uri="{53640926-AAD7-44D8-BBD7-CCE9431645EC}">
                        <a14:shadowObscured xmlns:a14="http://schemas.microsoft.com/office/drawing/2010/main"/>
                      </a:ext>
                    </a:extLst>
                  </pic:spPr>
                </pic:pic>
              </a:graphicData>
            </a:graphic>
          </wp:inline>
        </w:drawing>
      </w:r>
      <w:r w:rsidRPr="008166D7">
        <w:rPr>
          <w:caps/>
          <w:noProof/>
          <w:vanish/>
        </w:rPr>
        <w:drawing>
          <wp:inline distT="0" distB="0" distL="0" distR="0" wp14:anchorId="4984A31F" wp14:editId="0072BA27">
            <wp:extent cx="6376016" cy="7162800"/>
            <wp:effectExtent l="0" t="0" r="635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48770" name="Picture 15" descr="Text, letter&#10;&#10;Description automatically generated"/>
                    <pic:cNvPicPr/>
                  </pic:nvPicPr>
                  <pic:blipFill>
                    <a:blip r:embed="rId41">
                      <a:extLst>
                        <a:ext uri="{28A0092B-C50C-407E-A947-70E740481C1C}">
                          <a14:useLocalDpi xmlns:a14="http://schemas.microsoft.com/office/drawing/2010/main" val="0"/>
                        </a:ext>
                      </a:extLst>
                    </a:blip>
                    <a:srcRect t="8791" b="4400"/>
                    <a:stretch>
                      <a:fillRect/>
                    </a:stretch>
                  </pic:blipFill>
                  <pic:spPr bwMode="auto">
                    <a:xfrm>
                      <a:off x="0" y="0"/>
                      <a:ext cx="6378489" cy="7165578"/>
                    </a:xfrm>
                    <a:prstGeom prst="rect">
                      <a:avLst/>
                    </a:prstGeom>
                    <a:ln>
                      <a:noFill/>
                    </a:ln>
                    <a:extLst>
                      <a:ext uri="{53640926-AAD7-44D8-BBD7-CCE9431645EC}">
                        <a14:shadowObscured xmlns:a14="http://schemas.microsoft.com/office/drawing/2010/main"/>
                      </a:ext>
                    </a:extLst>
                  </pic:spPr>
                </pic:pic>
              </a:graphicData>
            </a:graphic>
          </wp:inline>
        </w:drawing>
      </w:r>
    </w:p>
    <w:p w14:paraId="58AA5131" w14:textId="3478C031" w:rsidR="00310085" w:rsidRPr="008166D7" w:rsidRDefault="00813998">
      <w:pPr>
        <w:rPr>
          <w:b/>
          <w:vanish/>
          <w:sz w:val="24"/>
        </w:rPr>
      </w:pPr>
      <w:r w:rsidRPr="008166D7">
        <w:rPr>
          <w:caps/>
          <w:vanish/>
        </w:rPr>
        <w:br w:type="page"/>
      </w:r>
    </w:p>
    <w:p w14:paraId="5D9550F6" w14:textId="613D1BAD" w:rsidR="00F23B30" w:rsidRPr="008166D7" w:rsidRDefault="00813998" w:rsidP="003E4B68">
      <w:pPr>
        <w:pStyle w:val="Heading2URRC"/>
        <w:numPr>
          <w:ilvl w:val="0"/>
          <w:numId w:val="0"/>
        </w:numPr>
        <w:ind w:left="864" w:hanging="864"/>
        <w:rPr>
          <w:rFonts w:ascii="Times New Roman" w:hAnsi="Times New Roman"/>
          <w:vanish/>
          <w:lang w:val="en-US"/>
        </w:rPr>
      </w:pPr>
      <w:r w:rsidRPr="008166D7">
        <w:rPr>
          <w:rFonts w:ascii="Times New Roman" w:hAnsi="Times New Roman"/>
          <w:caps w:val="0"/>
          <w:vanish/>
          <w:lang w:val="en-US"/>
        </w:rPr>
        <w:t xml:space="preserve">APPENDIX C – HAMLET OF KINNGAIT SUBMISSION </w:t>
      </w:r>
    </w:p>
    <w:p w14:paraId="0A19F4D7" w14:textId="3E845ADC" w:rsidR="00760A71" w:rsidRPr="008166D7" w:rsidRDefault="00813998" w:rsidP="0027764D">
      <w:pPr>
        <w:ind w:left="-180"/>
        <w:jc w:val="center"/>
        <w:rPr>
          <w:vanish/>
        </w:rPr>
      </w:pPr>
      <w:r w:rsidRPr="008166D7">
        <w:rPr>
          <w:noProof/>
          <w:vanish/>
        </w:rPr>
        <w:drawing>
          <wp:inline distT="0" distB="0" distL="0" distR="0" wp14:anchorId="4C5C0E22" wp14:editId="02970F64">
            <wp:extent cx="6455898" cy="7211683"/>
            <wp:effectExtent l="0" t="0" r="2540" b="889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25830" name="Picture 32" descr="Text, letter&#10;&#10;Description automatically generated"/>
                    <pic:cNvPicPr/>
                  </pic:nvPicPr>
                  <pic:blipFill>
                    <a:blip r:embed="rId42" cstate="print">
                      <a:extLst>
                        <a:ext uri="{28A0092B-C50C-407E-A947-70E740481C1C}">
                          <a14:useLocalDpi xmlns:a14="http://schemas.microsoft.com/office/drawing/2010/main" val="0"/>
                        </a:ext>
                      </a:extLst>
                    </a:blip>
                    <a:srcRect b="13681"/>
                    <a:stretch>
                      <a:fillRect/>
                    </a:stretch>
                  </pic:blipFill>
                  <pic:spPr bwMode="auto">
                    <a:xfrm>
                      <a:off x="0" y="0"/>
                      <a:ext cx="6463630" cy="7220320"/>
                    </a:xfrm>
                    <a:prstGeom prst="rect">
                      <a:avLst/>
                    </a:prstGeom>
                    <a:ln>
                      <a:noFill/>
                    </a:ln>
                    <a:extLst>
                      <a:ext uri="{53640926-AAD7-44D8-BBD7-CCE9431645EC}">
                        <a14:shadowObscured xmlns:a14="http://schemas.microsoft.com/office/drawing/2010/main"/>
                      </a:ext>
                    </a:extLst>
                  </pic:spPr>
                </pic:pic>
              </a:graphicData>
            </a:graphic>
          </wp:inline>
        </w:drawing>
      </w:r>
    </w:p>
    <w:p w14:paraId="79E3B74D" w14:textId="2FFC0ACC" w:rsidR="00C00BE0" w:rsidRPr="008166D7" w:rsidRDefault="00813998">
      <w:pPr>
        <w:rPr>
          <w:vanish/>
        </w:rPr>
      </w:pPr>
      <w:r w:rsidRPr="008166D7">
        <w:rPr>
          <w:vanish/>
        </w:rPr>
        <w:br w:type="page"/>
      </w:r>
    </w:p>
    <w:p w14:paraId="69D28620" w14:textId="72073773" w:rsidR="0041369D" w:rsidRPr="008166D7" w:rsidRDefault="00813998" w:rsidP="0041369D">
      <w:pPr>
        <w:pStyle w:val="Heading2URRC"/>
        <w:numPr>
          <w:ilvl w:val="0"/>
          <w:numId w:val="0"/>
        </w:numPr>
        <w:ind w:left="864" w:hanging="864"/>
        <w:rPr>
          <w:rFonts w:ascii="Times New Roman" w:hAnsi="Times New Roman"/>
          <w:vanish/>
          <w:lang w:val="en-US"/>
        </w:rPr>
      </w:pPr>
      <w:r w:rsidRPr="008166D7">
        <w:rPr>
          <w:rFonts w:ascii="Times New Roman" w:hAnsi="Times New Roman"/>
          <w:caps w:val="0"/>
          <w:vanish/>
          <w:lang w:val="en-US"/>
        </w:rPr>
        <w:t>APPENDIX D – MINISTER/QEC RESPONSE TO HAMLET OF KINNGAIT</w:t>
      </w:r>
    </w:p>
    <w:p w14:paraId="0AD35E3A" w14:textId="0EDC3585" w:rsidR="0041369D" w:rsidRPr="008166D7" w:rsidRDefault="00813998">
      <w:pPr>
        <w:rPr>
          <w:caps/>
          <w:vanish/>
        </w:rPr>
      </w:pPr>
      <w:r w:rsidRPr="008166D7">
        <w:rPr>
          <w:caps/>
          <w:noProof/>
          <w:vanish/>
        </w:rPr>
        <w:drawing>
          <wp:inline distT="0" distB="0" distL="0" distR="0" wp14:anchorId="78361085" wp14:editId="4D24AA11">
            <wp:extent cx="5884704" cy="7613650"/>
            <wp:effectExtent l="0" t="0" r="1905" b="635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75514" name="Picture 16"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6879" cy="7616464"/>
                    </a:xfrm>
                    <a:prstGeom prst="rect">
                      <a:avLst/>
                    </a:prstGeom>
                  </pic:spPr>
                </pic:pic>
              </a:graphicData>
            </a:graphic>
          </wp:inline>
        </w:drawing>
      </w:r>
      <w:r w:rsidRPr="008166D7">
        <w:rPr>
          <w:caps/>
          <w:noProof/>
          <w:vanish/>
        </w:rPr>
        <w:drawing>
          <wp:inline distT="0" distB="0" distL="0" distR="0" wp14:anchorId="129D2060" wp14:editId="30EFC051">
            <wp:extent cx="5943600" cy="962025"/>
            <wp:effectExtent l="0" t="0" r="0" b="9525"/>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85391" name="Picture 17" descr="Text, letter&#10;&#10;Description automatically generated"/>
                    <pic:cNvPicPr/>
                  </pic:nvPicPr>
                  <pic:blipFill>
                    <a:blip r:embed="rId44" cstate="print">
                      <a:extLst>
                        <a:ext uri="{28A0092B-C50C-407E-A947-70E740481C1C}">
                          <a14:useLocalDpi xmlns:a14="http://schemas.microsoft.com/office/drawing/2010/main" val="0"/>
                        </a:ext>
                      </a:extLst>
                    </a:blip>
                    <a:srcRect t="10526" b="76967"/>
                    <a:stretch>
                      <a:fillRect/>
                    </a:stretch>
                  </pic:blipFill>
                  <pic:spPr bwMode="auto">
                    <a:xfrm>
                      <a:off x="0" y="0"/>
                      <a:ext cx="5943600" cy="962025"/>
                    </a:xfrm>
                    <a:prstGeom prst="rect">
                      <a:avLst/>
                    </a:prstGeom>
                    <a:ln>
                      <a:noFill/>
                    </a:ln>
                    <a:extLst>
                      <a:ext uri="{53640926-AAD7-44D8-BBD7-CCE9431645EC}">
                        <a14:shadowObscured xmlns:a14="http://schemas.microsoft.com/office/drawing/2010/main"/>
                      </a:ext>
                    </a:extLst>
                  </pic:spPr>
                </pic:pic>
              </a:graphicData>
            </a:graphic>
          </wp:inline>
        </w:drawing>
      </w:r>
      <w:r w:rsidRPr="008166D7">
        <w:rPr>
          <w:caps/>
          <w:noProof/>
          <w:vanish/>
        </w:rPr>
        <w:drawing>
          <wp:inline distT="0" distB="0" distL="0" distR="0" wp14:anchorId="78B1BB2A" wp14:editId="55662EFF">
            <wp:extent cx="6212406" cy="5943600"/>
            <wp:effectExtent l="0" t="0" r="0"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769334" name="Picture 18" descr="Table&#10;&#10;Description automatically generated"/>
                    <pic:cNvPicPr/>
                  </pic:nvPicPr>
                  <pic:blipFill>
                    <a:blip r:embed="rId45" cstate="print">
                      <a:extLst>
                        <a:ext uri="{28A0092B-C50C-407E-A947-70E740481C1C}">
                          <a14:useLocalDpi xmlns:a14="http://schemas.microsoft.com/office/drawing/2010/main" val="0"/>
                        </a:ext>
                      </a:extLst>
                    </a:blip>
                    <a:srcRect t="10898" b="15174"/>
                    <a:stretch>
                      <a:fillRect/>
                    </a:stretch>
                  </pic:blipFill>
                  <pic:spPr bwMode="auto">
                    <a:xfrm>
                      <a:off x="0" y="0"/>
                      <a:ext cx="6214985" cy="5946067"/>
                    </a:xfrm>
                    <a:prstGeom prst="rect">
                      <a:avLst/>
                    </a:prstGeom>
                    <a:ln>
                      <a:noFill/>
                    </a:ln>
                    <a:extLst>
                      <a:ext uri="{53640926-AAD7-44D8-BBD7-CCE9431645EC}">
                        <a14:shadowObscured xmlns:a14="http://schemas.microsoft.com/office/drawing/2010/main"/>
                      </a:ext>
                    </a:extLst>
                  </pic:spPr>
                </pic:pic>
              </a:graphicData>
            </a:graphic>
          </wp:inline>
        </w:drawing>
      </w:r>
    </w:p>
    <w:p w14:paraId="328B957A" w14:textId="57985A77" w:rsidR="0041369D" w:rsidRPr="008166D7" w:rsidRDefault="00813998">
      <w:pPr>
        <w:rPr>
          <w:b/>
          <w:vanish/>
          <w:sz w:val="24"/>
        </w:rPr>
      </w:pPr>
      <w:r w:rsidRPr="008166D7">
        <w:rPr>
          <w:caps/>
          <w:vanish/>
        </w:rPr>
        <w:br w:type="page"/>
      </w:r>
    </w:p>
    <w:p w14:paraId="7336F778" w14:textId="3233AC47" w:rsidR="00C00BE0" w:rsidRPr="008166D7" w:rsidRDefault="00813998" w:rsidP="003E4B68">
      <w:pPr>
        <w:pStyle w:val="Heading2URRC"/>
        <w:numPr>
          <w:ilvl w:val="0"/>
          <w:numId w:val="0"/>
        </w:numPr>
        <w:ind w:left="864" w:hanging="864"/>
        <w:rPr>
          <w:rFonts w:ascii="Times New Roman" w:hAnsi="Times New Roman"/>
          <w:vanish/>
          <w:lang w:val="en-US"/>
        </w:rPr>
      </w:pPr>
      <w:r w:rsidRPr="008166D7">
        <w:rPr>
          <w:rFonts w:ascii="Times New Roman" w:hAnsi="Times New Roman"/>
          <w:caps w:val="0"/>
          <w:vanish/>
          <w:lang w:val="en-US"/>
        </w:rPr>
        <w:t>APPENDIX E – HAMLET OF RANKIN INLET SUBMISSION</w:t>
      </w:r>
    </w:p>
    <w:p w14:paraId="5F2B6D67" w14:textId="1E96DF48" w:rsidR="00EA38E6" w:rsidRPr="008166D7" w:rsidRDefault="00813998" w:rsidP="00972E9E">
      <w:pPr>
        <w:ind w:left="-180"/>
        <w:rPr>
          <w:vanish/>
        </w:rPr>
      </w:pPr>
      <w:r w:rsidRPr="008166D7">
        <w:rPr>
          <w:noProof/>
          <w:vanish/>
        </w:rPr>
        <w:drawing>
          <wp:inline distT="0" distB="0" distL="0" distR="0" wp14:anchorId="4C25C67A" wp14:editId="603C07FE">
            <wp:extent cx="6333999" cy="7410450"/>
            <wp:effectExtent l="0" t="0" r="0" b="0"/>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54887" name="Picture 19" descr="Text, letter&#10;&#10;Description automatically generated"/>
                    <pic:cNvPicPr/>
                  </pic:nvPicPr>
                  <pic:blipFill>
                    <a:blip r:embed="rId46" cstate="print">
                      <a:extLst>
                        <a:ext uri="{28A0092B-C50C-407E-A947-70E740481C1C}">
                          <a14:useLocalDpi xmlns:a14="http://schemas.microsoft.com/office/drawing/2010/main" val="0"/>
                        </a:ext>
                      </a:extLst>
                    </a:blip>
                    <a:srcRect b="9596"/>
                    <a:stretch>
                      <a:fillRect/>
                    </a:stretch>
                  </pic:blipFill>
                  <pic:spPr bwMode="auto">
                    <a:xfrm>
                      <a:off x="0" y="0"/>
                      <a:ext cx="6341503" cy="7419229"/>
                    </a:xfrm>
                    <a:prstGeom prst="rect">
                      <a:avLst/>
                    </a:prstGeom>
                    <a:ln>
                      <a:noFill/>
                    </a:ln>
                    <a:extLst>
                      <a:ext uri="{53640926-AAD7-44D8-BBD7-CCE9431645EC}">
                        <a14:shadowObscured xmlns:a14="http://schemas.microsoft.com/office/drawing/2010/main"/>
                      </a:ext>
                    </a:extLst>
                  </pic:spPr>
                </pic:pic>
              </a:graphicData>
            </a:graphic>
          </wp:inline>
        </w:drawing>
      </w:r>
    </w:p>
    <w:p w14:paraId="29B30AF3" w14:textId="52B2BA11" w:rsidR="00975E37" w:rsidRPr="008166D7" w:rsidRDefault="00813998" w:rsidP="00975E37">
      <w:pPr>
        <w:pStyle w:val="Heading2URRC"/>
        <w:numPr>
          <w:ilvl w:val="0"/>
          <w:numId w:val="0"/>
        </w:numPr>
        <w:ind w:left="864" w:hanging="864"/>
        <w:rPr>
          <w:rFonts w:ascii="Times New Roman" w:hAnsi="Times New Roman"/>
          <w:vanish/>
          <w:lang w:val="en-US"/>
        </w:rPr>
      </w:pPr>
      <w:r w:rsidRPr="008166D7">
        <w:rPr>
          <w:rFonts w:ascii="Times New Roman" w:hAnsi="Times New Roman"/>
          <w:caps w:val="0"/>
          <w:vanish/>
          <w:lang w:val="en-US"/>
        </w:rPr>
        <w:t xml:space="preserve">APPENDIX F – QEC RESPONSE TO HAMLET OF RANKIN INLET </w:t>
      </w:r>
    </w:p>
    <w:p w14:paraId="2644FB68" w14:textId="2796032B" w:rsidR="00FC0067" w:rsidRPr="008166D7" w:rsidRDefault="00813998" w:rsidP="007505D1">
      <w:pPr>
        <w:ind w:left="-540"/>
        <w:jc w:val="center"/>
        <w:rPr>
          <w:vanish/>
        </w:rPr>
      </w:pPr>
      <w:r w:rsidRPr="008166D7">
        <w:rPr>
          <w:noProof/>
          <w:vanish/>
        </w:rPr>
        <w:drawing>
          <wp:inline distT="0" distB="0" distL="0" distR="0" wp14:anchorId="7A0B74A9" wp14:editId="24876BFC">
            <wp:extent cx="6305539" cy="7229475"/>
            <wp:effectExtent l="0" t="0" r="635" b="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68877" name="Picture 20" descr="Text, letter&#10;&#10;Description automatically generated"/>
                    <pic:cNvPicPr/>
                  </pic:nvPicPr>
                  <pic:blipFill>
                    <a:blip r:embed="rId47">
                      <a:extLst>
                        <a:ext uri="{28A0092B-C50C-407E-A947-70E740481C1C}">
                          <a14:useLocalDpi xmlns:a14="http://schemas.microsoft.com/office/drawing/2010/main" val="0"/>
                        </a:ext>
                      </a:extLst>
                    </a:blip>
                    <a:srcRect t="2118" b="9287"/>
                    <a:stretch>
                      <a:fillRect/>
                    </a:stretch>
                  </pic:blipFill>
                  <pic:spPr bwMode="auto">
                    <a:xfrm>
                      <a:off x="0" y="0"/>
                      <a:ext cx="6309778" cy="7234336"/>
                    </a:xfrm>
                    <a:prstGeom prst="rect">
                      <a:avLst/>
                    </a:prstGeom>
                    <a:ln>
                      <a:noFill/>
                    </a:ln>
                    <a:extLst>
                      <a:ext uri="{53640926-AAD7-44D8-BBD7-CCE9431645EC}">
                        <a14:shadowObscured xmlns:a14="http://schemas.microsoft.com/office/drawing/2010/main"/>
                      </a:ext>
                    </a:extLst>
                  </pic:spPr>
                </pic:pic>
              </a:graphicData>
            </a:graphic>
          </wp:inline>
        </w:drawing>
      </w:r>
      <w:r w:rsidRPr="008166D7">
        <w:rPr>
          <w:noProof/>
          <w:vanish/>
        </w:rPr>
        <w:drawing>
          <wp:inline distT="0" distB="0" distL="0" distR="0" wp14:anchorId="7A466E4C" wp14:editId="7B024BF2">
            <wp:extent cx="6305909" cy="6962775"/>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38779" name="Picture 21" descr="Text, letter&#10;&#10;Description automatically generated"/>
                    <pic:cNvPicPr/>
                  </pic:nvPicPr>
                  <pic:blipFill>
                    <a:blip r:embed="rId48">
                      <a:extLst>
                        <a:ext uri="{28A0092B-C50C-407E-A947-70E740481C1C}">
                          <a14:useLocalDpi xmlns:a14="http://schemas.microsoft.com/office/drawing/2010/main" val="0"/>
                        </a:ext>
                      </a:extLst>
                    </a:blip>
                    <a:srcRect b="14679"/>
                    <a:stretch>
                      <a:fillRect/>
                    </a:stretch>
                  </pic:blipFill>
                  <pic:spPr bwMode="auto">
                    <a:xfrm>
                      <a:off x="0" y="0"/>
                      <a:ext cx="6308155" cy="6965255"/>
                    </a:xfrm>
                    <a:prstGeom prst="rect">
                      <a:avLst/>
                    </a:prstGeom>
                    <a:ln>
                      <a:noFill/>
                    </a:ln>
                    <a:extLst>
                      <a:ext uri="{53640926-AAD7-44D8-BBD7-CCE9431645EC}">
                        <a14:shadowObscured xmlns:a14="http://schemas.microsoft.com/office/drawing/2010/main"/>
                      </a:ext>
                    </a:extLst>
                  </pic:spPr>
                </pic:pic>
              </a:graphicData>
            </a:graphic>
          </wp:inline>
        </w:drawing>
      </w:r>
      <w:r w:rsidRPr="008166D7">
        <w:rPr>
          <w:noProof/>
          <w:vanish/>
        </w:rPr>
        <w:drawing>
          <wp:inline distT="0" distB="0" distL="0" distR="0" wp14:anchorId="22288A50" wp14:editId="084EDB3C">
            <wp:extent cx="6851343" cy="6248400"/>
            <wp:effectExtent l="0" t="0" r="6985"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86595" name="Picture 22" descr="Table&#10;&#10;Description automatically generated"/>
                    <pic:cNvPicPr/>
                  </pic:nvPicPr>
                  <pic:blipFill>
                    <a:blip r:embed="rId49">
                      <a:extLst>
                        <a:ext uri="{28A0092B-C50C-407E-A947-70E740481C1C}">
                          <a14:useLocalDpi xmlns:a14="http://schemas.microsoft.com/office/drawing/2010/main" val="0"/>
                        </a:ext>
                      </a:extLst>
                    </a:blip>
                    <a:srcRect l="5184" t="3715" r="6429" b="33997"/>
                    <a:stretch>
                      <a:fillRect/>
                    </a:stretch>
                  </pic:blipFill>
                  <pic:spPr bwMode="auto">
                    <a:xfrm>
                      <a:off x="0" y="0"/>
                      <a:ext cx="6863756" cy="6259720"/>
                    </a:xfrm>
                    <a:prstGeom prst="rect">
                      <a:avLst/>
                    </a:prstGeom>
                    <a:ln>
                      <a:noFill/>
                    </a:ln>
                    <a:extLst>
                      <a:ext uri="{53640926-AAD7-44D8-BBD7-CCE9431645EC}">
                        <a14:shadowObscured xmlns:a14="http://schemas.microsoft.com/office/drawing/2010/main"/>
                      </a:ext>
                    </a:extLst>
                  </pic:spPr>
                </pic:pic>
              </a:graphicData>
            </a:graphic>
          </wp:inline>
        </w:drawing>
      </w:r>
    </w:p>
    <w:p w14:paraId="3AC958D6" w14:textId="3F151149" w:rsidR="000E55FA" w:rsidRPr="008166D7" w:rsidRDefault="00813998">
      <w:pPr>
        <w:rPr>
          <w:vanish/>
        </w:rPr>
      </w:pPr>
      <w:r w:rsidRPr="008166D7">
        <w:rPr>
          <w:vanish/>
        </w:rPr>
        <w:br w:type="page"/>
      </w:r>
    </w:p>
    <w:p w14:paraId="18A17C9E" w14:textId="1C495CA6" w:rsidR="000E55FA" w:rsidRPr="008166D7" w:rsidRDefault="00813998" w:rsidP="003E4B68">
      <w:pPr>
        <w:pStyle w:val="Heading2URRC"/>
        <w:numPr>
          <w:ilvl w:val="0"/>
          <w:numId w:val="0"/>
        </w:numPr>
        <w:rPr>
          <w:rFonts w:ascii="Times New Roman" w:hAnsi="Times New Roman"/>
          <w:vanish/>
          <w:lang w:val="en-US"/>
        </w:rPr>
      </w:pPr>
      <w:r w:rsidRPr="008166D7">
        <w:rPr>
          <w:rFonts w:ascii="Times New Roman" w:hAnsi="Times New Roman"/>
          <w:caps w:val="0"/>
          <w:vanish/>
          <w:lang w:val="en-US"/>
        </w:rPr>
        <w:t xml:space="preserve">APPENDIX G – IQALUIT CHAMBER OF COMMERCE SUBMISSION </w:t>
      </w:r>
    </w:p>
    <w:p w14:paraId="662E5EB5" w14:textId="01B002E7" w:rsidR="0070003F" w:rsidRPr="008166D7" w:rsidRDefault="00813998">
      <w:pPr>
        <w:rPr>
          <w:vanish/>
        </w:rPr>
      </w:pPr>
      <w:r w:rsidRPr="008166D7">
        <w:rPr>
          <w:noProof/>
          <w:vanish/>
        </w:rPr>
        <w:drawing>
          <wp:inline distT="0" distB="0" distL="0" distR="0" wp14:anchorId="543D3ACD" wp14:editId="4C05B88B">
            <wp:extent cx="5966277" cy="7315200"/>
            <wp:effectExtent l="0" t="0" r="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4329" name="Picture 23" descr="Text, letter&#10;&#10;Description automatically generated"/>
                    <pic:cNvPicPr/>
                  </pic:nvPicPr>
                  <pic:blipFill>
                    <a:blip r:embed="rId50" cstate="print">
                      <a:extLst>
                        <a:ext uri="{28A0092B-C50C-407E-A947-70E740481C1C}">
                          <a14:useLocalDpi xmlns:a14="http://schemas.microsoft.com/office/drawing/2010/main" val="0"/>
                        </a:ext>
                      </a:extLst>
                    </a:blip>
                    <a:srcRect l="5458" t="4355" r="7552" b="13228"/>
                    <a:stretch>
                      <a:fillRect/>
                    </a:stretch>
                  </pic:blipFill>
                  <pic:spPr bwMode="auto">
                    <a:xfrm>
                      <a:off x="0" y="0"/>
                      <a:ext cx="5976826" cy="7328134"/>
                    </a:xfrm>
                    <a:prstGeom prst="rect">
                      <a:avLst/>
                    </a:prstGeom>
                    <a:ln>
                      <a:noFill/>
                    </a:ln>
                    <a:extLst>
                      <a:ext uri="{53640926-AAD7-44D8-BBD7-CCE9431645EC}">
                        <a14:shadowObscured xmlns:a14="http://schemas.microsoft.com/office/drawing/2010/main"/>
                      </a:ext>
                    </a:extLst>
                  </pic:spPr>
                </pic:pic>
              </a:graphicData>
            </a:graphic>
          </wp:inline>
        </w:drawing>
      </w:r>
    </w:p>
    <w:p w14:paraId="04CADE14" w14:textId="77777777" w:rsidR="0070003F" w:rsidRPr="008166D7" w:rsidRDefault="0070003F">
      <w:pPr>
        <w:rPr>
          <w:vanish/>
        </w:rPr>
      </w:pPr>
    </w:p>
    <w:p w14:paraId="73489682" w14:textId="5D4F718F" w:rsidR="00CE4970" w:rsidRPr="008166D7" w:rsidRDefault="00813998" w:rsidP="00CE4970">
      <w:pPr>
        <w:pStyle w:val="Heading2URRC"/>
        <w:numPr>
          <w:ilvl w:val="0"/>
          <w:numId w:val="0"/>
        </w:numPr>
        <w:rPr>
          <w:rFonts w:ascii="Times New Roman" w:hAnsi="Times New Roman"/>
          <w:vanish/>
          <w:lang w:val="en-US"/>
        </w:rPr>
      </w:pPr>
      <w:r w:rsidRPr="008166D7">
        <w:rPr>
          <w:rFonts w:ascii="Times New Roman" w:hAnsi="Times New Roman"/>
          <w:caps w:val="0"/>
          <w:vanish/>
          <w:lang w:val="en-US"/>
        </w:rPr>
        <w:t>APPENDIX H – MINISTER RESPONSE TO IQALUIT CHAMBER OF COMMERCE</w:t>
      </w:r>
    </w:p>
    <w:p w14:paraId="7E1B2ADF" w14:textId="11B4387A" w:rsidR="00CE4970" w:rsidRPr="008166D7" w:rsidRDefault="00813998">
      <w:pPr>
        <w:rPr>
          <w:vanish/>
        </w:rPr>
      </w:pPr>
      <w:r w:rsidRPr="008166D7">
        <w:rPr>
          <w:noProof/>
          <w:vanish/>
        </w:rPr>
        <w:drawing>
          <wp:inline distT="0" distB="0" distL="0" distR="0" wp14:anchorId="12857FD2" wp14:editId="26854E2B">
            <wp:extent cx="5886450" cy="7615909"/>
            <wp:effectExtent l="0" t="0" r="0" b="4445"/>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86099" name="Picture 24" descr="Text, let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87577" cy="7617367"/>
                    </a:xfrm>
                    <a:prstGeom prst="rect">
                      <a:avLst/>
                    </a:prstGeom>
                  </pic:spPr>
                </pic:pic>
              </a:graphicData>
            </a:graphic>
          </wp:inline>
        </w:drawing>
      </w:r>
      <w:r w:rsidRPr="008166D7">
        <w:rPr>
          <w:noProof/>
          <w:vanish/>
        </w:rPr>
        <w:drawing>
          <wp:inline distT="0" distB="0" distL="0" distR="0" wp14:anchorId="631487E8" wp14:editId="25AEC9A4">
            <wp:extent cx="5943600" cy="7691755"/>
            <wp:effectExtent l="0" t="0" r="0" b="4445"/>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2544" name="Picture 25" descr="Text, let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7F07C4" w14:textId="26C8BD84" w:rsidR="00F243C4" w:rsidRPr="008166D7" w:rsidRDefault="00813998">
      <w:pPr>
        <w:rPr>
          <w:vanish/>
        </w:rPr>
      </w:pPr>
      <w:r w:rsidRPr="008166D7">
        <w:rPr>
          <w:vanish/>
        </w:rPr>
        <w:br w:type="page"/>
      </w:r>
    </w:p>
    <w:p w14:paraId="16F8C6AF" w14:textId="6C4EF6E4" w:rsidR="00F243C4" w:rsidRPr="008166D7" w:rsidRDefault="00813998" w:rsidP="00EE3232">
      <w:pPr>
        <w:pStyle w:val="Heading2URRC"/>
        <w:numPr>
          <w:ilvl w:val="0"/>
          <w:numId w:val="0"/>
        </w:numPr>
        <w:spacing w:after="0"/>
        <w:rPr>
          <w:rFonts w:ascii="Times New Roman" w:hAnsi="Times New Roman"/>
          <w:vanish/>
          <w:lang w:val="en-US"/>
        </w:rPr>
      </w:pPr>
      <w:r w:rsidRPr="008166D7">
        <w:rPr>
          <w:rFonts w:ascii="Times New Roman" w:hAnsi="Times New Roman"/>
          <w:caps w:val="0"/>
          <w:vanish/>
          <w:lang w:val="en-US"/>
        </w:rPr>
        <w:t xml:space="preserve">APPENDIX I – NUNAVUT NUKKIKSAUTIIT CORPORATION SUBMISSION </w:t>
      </w:r>
    </w:p>
    <w:p w14:paraId="2433AD84" w14:textId="1F4E2919" w:rsidR="008620CB" w:rsidRPr="008166D7" w:rsidRDefault="00813998" w:rsidP="008620CB">
      <w:pPr>
        <w:rPr>
          <w:vanish/>
        </w:rPr>
      </w:pPr>
      <w:r w:rsidRPr="008166D7">
        <w:rPr>
          <w:noProof/>
          <w:vanish/>
        </w:rPr>
        <w:drawing>
          <wp:inline distT="0" distB="0" distL="0" distR="0" wp14:anchorId="3D7A63CE" wp14:editId="1B53BDC4">
            <wp:extent cx="6010275" cy="7778041"/>
            <wp:effectExtent l="0" t="0" r="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16286" name="Picture 26" descr="Text, lett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14056" cy="7782934"/>
                    </a:xfrm>
                    <a:prstGeom prst="rect">
                      <a:avLst/>
                    </a:prstGeom>
                  </pic:spPr>
                </pic:pic>
              </a:graphicData>
            </a:graphic>
          </wp:inline>
        </w:drawing>
      </w:r>
      <w:r w:rsidRPr="008166D7">
        <w:rPr>
          <w:noProof/>
          <w:vanish/>
        </w:rPr>
        <w:drawing>
          <wp:inline distT="0" distB="0" distL="0" distR="0" wp14:anchorId="76A3B934" wp14:editId="0204F828">
            <wp:extent cx="5943600" cy="7691755"/>
            <wp:effectExtent l="0" t="0" r="0" b="4445"/>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1793" name="Picture 27" descr="Text, let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8166D7">
        <w:rPr>
          <w:noProof/>
          <w:vanish/>
        </w:rPr>
        <w:drawing>
          <wp:inline distT="0" distB="0" distL="0" distR="0" wp14:anchorId="13B0B82D" wp14:editId="7D965F2D">
            <wp:extent cx="5943600" cy="7691755"/>
            <wp:effectExtent l="0" t="0" r="0" b="4445"/>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08650" name="Picture 28" descr="Text, lette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8B6280" w14:textId="5F6C2751" w:rsidR="008620CB" w:rsidRPr="008166D7" w:rsidRDefault="00813998">
      <w:pPr>
        <w:rPr>
          <w:vanish/>
        </w:rPr>
      </w:pPr>
      <w:r w:rsidRPr="008166D7">
        <w:rPr>
          <w:vanish/>
        </w:rPr>
        <w:br w:type="page"/>
      </w:r>
    </w:p>
    <w:p w14:paraId="123F8BD8" w14:textId="41C42CFC" w:rsidR="008620CB" w:rsidRPr="008166D7" w:rsidRDefault="00813998" w:rsidP="00D61CCF">
      <w:pPr>
        <w:pStyle w:val="Heading2URRC"/>
        <w:numPr>
          <w:ilvl w:val="0"/>
          <w:numId w:val="0"/>
        </w:numPr>
        <w:spacing w:after="0"/>
        <w:rPr>
          <w:rFonts w:ascii="Times New Roman" w:hAnsi="Times New Roman"/>
          <w:vanish/>
          <w:lang w:val="en-US"/>
        </w:rPr>
      </w:pPr>
      <w:r w:rsidRPr="008166D7">
        <w:rPr>
          <w:rFonts w:ascii="Times New Roman" w:hAnsi="Times New Roman"/>
          <w:caps w:val="0"/>
          <w:vanish/>
          <w:lang w:val="en-US"/>
        </w:rPr>
        <w:t xml:space="preserve">APPENDIX J – QEC RESPONSE TO NUNAVUT NUKKIKSAUTIIT CORPORATION </w:t>
      </w:r>
    </w:p>
    <w:p w14:paraId="532D30BB" w14:textId="6BCEAE5B" w:rsidR="00C926CB" w:rsidRPr="008166D7" w:rsidRDefault="00813998" w:rsidP="00E574BB">
      <w:pPr>
        <w:ind w:left="-180"/>
        <w:rPr>
          <w:vanish/>
        </w:rPr>
      </w:pPr>
      <w:r w:rsidRPr="008166D7">
        <w:rPr>
          <w:noProof/>
          <w:vanish/>
        </w:rPr>
        <w:drawing>
          <wp:inline distT="0" distB="0" distL="0" distR="0" wp14:anchorId="0CCE4779" wp14:editId="6098A5D3">
            <wp:extent cx="6289259" cy="7581900"/>
            <wp:effectExtent l="0" t="0" r="0"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8761" name="Picture 29" descr="Text, letter&#10;&#10;Description automatically generated"/>
                    <pic:cNvPicPr/>
                  </pic:nvPicPr>
                  <pic:blipFill>
                    <a:blip r:embed="rId56">
                      <a:extLst>
                        <a:ext uri="{28A0092B-C50C-407E-A947-70E740481C1C}">
                          <a14:useLocalDpi xmlns:a14="http://schemas.microsoft.com/office/drawing/2010/main" val="0"/>
                        </a:ext>
                      </a:extLst>
                    </a:blip>
                    <a:srcRect b="6845"/>
                    <a:stretch>
                      <a:fillRect/>
                    </a:stretch>
                  </pic:blipFill>
                  <pic:spPr bwMode="auto">
                    <a:xfrm>
                      <a:off x="0" y="0"/>
                      <a:ext cx="6301144" cy="7596228"/>
                    </a:xfrm>
                    <a:prstGeom prst="rect">
                      <a:avLst/>
                    </a:prstGeom>
                    <a:ln>
                      <a:noFill/>
                    </a:ln>
                    <a:extLst>
                      <a:ext uri="{53640926-AAD7-44D8-BBD7-CCE9431645EC}">
                        <a14:shadowObscured xmlns:a14="http://schemas.microsoft.com/office/drawing/2010/main"/>
                      </a:ext>
                    </a:extLst>
                  </pic:spPr>
                </pic:pic>
              </a:graphicData>
            </a:graphic>
          </wp:inline>
        </w:drawing>
      </w:r>
      <w:r w:rsidRPr="008166D7">
        <w:rPr>
          <w:noProof/>
          <w:vanish/>
        </w:rPr>
        <w:drawing>
          <wp:inline distT="0" distB="0" distL="0" distR="0" wp14:anchorId="5B1E8AAF" wp14:editId="3DBB3F28">
            <wp:extent cx="6436878" cy="7581900"/>
            <wp:effectExtent l="0" t="0" r="254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7810" name="Picture 30" descr="Text, letter&#10;&#10;Description automatically generated"/>
                    <pic:cNvPicPr/>
                  </pic:nvPicPr>
                  <pic:blipFill>
                    <a:blip r:embed="rId57" cstate="print">
                      <a:extLst>
                        <a:ext uri="{28A0092B-C50C-407E-A947-70E740481C1C}">
                          <a14:useLocalDpi xmlns:a14="http://schemas.microsoft.com/office/drawing/2010/main" val="0"/>
                        </a:ext>
                      </a:extLst>
                    </a:blip>
                    <a:srcRect t="4829" b="4152"/>
                    <a:stretch>
                      <a:fillRect/>
                    </a:stretch>
                  </pic:blipFill>
                  <pic:spPr bwMode="auto">
                    <a:xfrm>
                      <a:off x="0" y="0"/>
                      <a:ext cx="6438257" cy="7583524"/>
                    </a:xfrm>
                    <a:prstGeom prst="rect">
                      <a:avLst/>
                    </a:prstGeom>
                    <a:ln>
                      <a:noFill/>
                    </a:ln>
                    <a:extLst>
                      <a:ext uri="{53640926-AAD7-44D8-BBD7-CCE9431645EC}">
                        <a14:shadowObscured xmlns:a14="http://schemas.microsoft.com/office/drawing/2010/main"/>
                      </a:ext>
                    </a:extLst>
                  </pic:spPr>
                </pic:pic>
              </a:graphicData>
            </a:graphic>
          </wp:inline>
        </w:drawing>
      </w:r>
      <w:r w:rsidRPr="008166D7">
        <w:rPr>
          <w:noProof/>
          <w:vanish/>
        </w:rPr>
        <w:drawing>
          <wp:inline distT="0" distB="0" distL="0" distR="0" wp14:anchorId="5372A45E" wp14:editId="701884E2">
            <wp:extent cx="6390182" cy="7496175"/>
            <wp:effectExtent l="0" t="0" r="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13350" name="Picture 31" descr="Text, letter&#10;&#10;Description automatically generated"/>
                    <pic:cNvPicPr/>
                  </pic:nvPicPr>
                  <pic:blipFill>
                    <a:blip r:embed="rId58">
                      <a:extLst>
                        <a:ext uri="{28A0092B-C50C-407E-A947-70E740481C1C}">
                          <a14:useLocalDpi xmlns:a14="http://schemas.microsoft.com/office/drawing/2010/main" val="0"/>
                        </a:ext>
                      </a:extLst>
                    </a:blip>
                    <a:srcRect t="5820" b="3533"/>
                    <a:stretch>
                      <a:fillRect/>
                    </a:stretch>
                  </pic:blipFill>
                  <pic:spPr bwMode="auto">
                    <a:xfrm>
                      <a:off x="0" y="0"/>
                      <a:ext cx="6395279" cy="7502154"/>
                    </a:xfrm>
                    <a:prstGeom prst="rect">
                      <a:avLst/>
                    </a:prstGeom>
                    <a:ln>
                      <a:noFill/>
                    </a:ln>
                    <a:extLst>
                      <a:ext uri="{53640926-AAD7-44D8-BBD7-CCE9431645EC}">
                        <a14:shadowObscured xmlns:a14="http://schemas.microsoft.com/office/drawing/2010/main"/>
                      </a:ext>
                    </a:extLst>
                  </pic:spPr>
                </pic:pic>
              </a:graphicData>
            </a:graphic>
          </wp:inline>
        </w:drawing>
      </w:r>
    </w:p>
    <w:p w14:paraId="7303D8E2" w14:textId="77777777" w:rsidR="00C926CB" w:rsidRPr="008166D7" w:rsidRDefault="00813998">
      <w:pPr>
        <w:rPr>
          <w:vanish/>
        </w:rPr>
      </w:pPr>
      <w:r w:rsidRPr="008166D7">
        <w:rPr>
          <w:vanish/>
        </w:rPr>
        <w:br w:type="page"/>
      </w:r>
    </w:p>
    <w:p w14:paraId="4EE6155F" w14:textId="65AC6CE7" w:rsidR="008620CB" w:rsidRPr="008166D7" w:rsidRDefault="00813998" w:rsidP="009F55C8">
      <w:pPr>
        <w:pStyle w:val="Heading2URRC"/>
        <w:numPr>
          <w:ilvl w:val="0"/>
          <w:numId w:val="0"/>
        </w:numPr>
        <w:spacing w:after="0"/>
        <w:ind w:right="-540"/>
        <w:rPr>
          <w:rFonts w:ascii="Times New Roman" w:hAnsi="Times New Roman"/>
          <w:vanish/>
          <w:lang w:val="en-US"/>
        </w:rPr>
      </w:pPr>
      <w:r w:rsidRPr="008166D7">
        <w:rPr>
          <w:rFonts w:ascii="Times New Roman" w:hAnsi="Times New Roman"/>
          <w:caps w:val="0"/>
          <w:vanish/>
          <w:lang w:val="en-US"/>
        </w:rPr>
        <w:t>APPENDIX K – JULY 6 RESPONSE FROM NUNAVUT NUKKIKSAUTIIT CORPORATION</w:t>
      </w:r>
    </w:p>
    <w:p w14:paraId="7491006B" w14:textId="7C633E12" w:rsidR="00C926CB" w:rsidRPr="008166D7" w:rsidRDefault="00813998" w:rsidP="009F55C8">
      <w:pPr>
        <w:ind w:left="-180"/>
        <w:jc w:val="center"/>
        <w:rPr>
          <w:vanish/>
        </w:rPr>
      </w:pPr>
      <w:r w:rsidRPr="008166D7">
        <w:rPr>
          <w:noProof/>
          <w:vanish/>
        </w:rPr>
        <w:drawing>
          <wp:inline distT="0" distB="0" distL="0" distR="0" wp14:anchorId="77AED107" wp14:editId="0895EE5C">
            <wp:extent cx="5905500" cy="7748556"/>
            <wp:effectExtent l="0" t="0" r="0" b="5080"/>
            <wp:docPr id="215348101"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02940" name="Picture 2" descr="Text, letter&#10;&#10;Description automatically generated"/>
                    <pic:cNvPicPr/>
                  </pic:nvPicPr>
                  <pic:blipFill>
                    <a:blip r:embed="rId59" cstate="print">
                      <a:extLst>
                        <a:ext uri="{28A0092B-C50C-407E-A947-70E740481C1C}">
                          <a14:useLocalDpi xmlns:a14="http://schemas.microsoft.com/office/drawing/2010/main" val="0"/>
                        </a:ext>
                      </a:extLst>
                    </a:blip>
                    <a:srcRect r="1923" b="561"/>
                    <a:stretch>
                      <a:fillRect/>
                    </a:stretch>
                  </pic:blipFill>
                  <pic:spPr bwMode="auto">
                    <a:xfrm>
                      <a:off x="0" y="0"/>
                      <a:ext cx="5905500" cy="7748556"/>
                    </a:xfrm>
                    <a:prstGeom prst="rect">
                      <a:avLst/>
                    </a:prstGeom>
                    <a:ln>
                      <a:noFill/>
                    </a:ln>
                    <a:extLst>
                      <a:ext uri="{53640926-AAD7-44D8-BBD7-CCE9431645EC}">
                        <a14:shadowObscured xmlns:a14="http://schemas.microsoft.com/office/drawing/2010/main"/>
                      </a:ext>
                    </a:extLst>
                  </pic:spPr>
                </pic:pic>
              </a:graphicData>
            </a:graphic>
          </wp:inline>
        </w:drawing>
      </w:r>
      <w:r w:rsidRPr="008166D7">
        <w:rPr>
          <w:noProof/>
          <w:vanish/>
        </w:rPr>
        <w:drawing>
          <wp:inline distT="0" distB="0" distL="0" distR="0" wp14:anchorId="7AE5F9CA" wp14:editId="63ACA754">
            <wp:extent cx="6063006" cy="7238852"/>
            <wp:effectExtent l="0" t="0" r="0" b="635"/>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64709" name="Picture 4" descr="Text, letter&#10;&#10;Description automatically generated"/>
                    <pic:cNvPicPr/>
                  </pic:nvPicPr>
                  <pic:blipFill>
                    <a:blip r:embed="rId60" cstate="print">
                      <a:extLst>
                        <a:ext uri="{28A0092B-C50C-407E-A947-70E740481C1C}">
                          <a14:useLocalDpi xmlns:a14="http://schemas.microsoft.com/office/drawing/2010/main" val="0"/>
                        </a:ext>
                      </a:extLst>
                    </a:blip>
                    <a:srcRect t="7271" r="6087" b="6086"/>
                    <a:stretch>
                      <a:fillRect/>
                    </a:stretch>
                  </pic:blipFill>
                  <pic:spPr bwMode="auto">
                    <a:xfrm>
                      <a:off x="0" y="0"/>
                      <a:ext cx="6077973" cy="7256722"/>
                    </a:xfrm>
                    <a:prstGeom prst="rect">
                      <a:avLst/>
                    </a:prstGeom>
                    <a:ln>
                      <a:noFill/>
                    </a:ln>
                    <a:extLst>
                      <a:ext uri="{53640926-AAD7-44D8-BBD7-CCE9431645EC}">
                        <a14:shadowObscured xmlns:a14="http://schemas.microsoft.com/office/drawing/2010/main"/>
                      </a:ext>
                    </a:extLst>
                  </pic:spPr>
                </pic:pic>
              </a:graphicData>
            </a:graphic>
          </wp:inline>
        </w:drawing>
      </w:r>
      <w:r w:rsidRPr="008166D7">
        <w:rPr>
          <w:noProof/>
          <w:vanish/>
        </w:rPr>
        <w:drawing>
          <wp:inline distT="0" distB="0" distL="0" distR="0" wp14:anchorId="719C1F8C" wp14:editId="0D733C7E">
            <wp:extent cx="5943600" cy="7691755"/>
            <wp:effectExtent l="0" t="0" r="0" b="4445"/>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23158" name="Picture 7" descr="A screenshot of a computer&#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8166D7">
        <w:rPr>
          <w:noProof/>
          <w:vanish/>
        </w:rPr>
        <w:drawing>
          <wp:inline distT="0" distB="0" distL="0" distR="0" wp14:anchorId="18E4605A" wp14:editId="0C51277A">
            <wp:extent cx="5943600" cy="7691755"/>
            <wp:effectExtent l="0" t="0" r="0" b="4445"/>
            <wp:docPr id="33" name="Picture 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60992" name="Picture 33" descr="Text, let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8166D7">
        <w:rPr>
          <w:noProof/>
          <w:vanish/>
        </w:rPr>
        <w:drawing>
          <wp:inline distT="0" distB="0" distL="0" distR="0" wp14:anchorId="20643170" wp14:editId="3EC95F6B">
            <wp:extent cx="5943600" cy="7691755"/>
            <wp:effectExtent l="0" t="0" r="0" b="4445"/>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42305" name="Picture 34" descr="Text, let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8166D7">
        <w:rPr>
          <w:noProof/>
          <w:vanish/>
        </w:rPr>
        <w:drawing>
          <wp:inline distT="0" distB="0" distL="0" distR="0" wp14:anchorId="4E5E5B85" wp14:editId="14E9DA61">
            <wp:extent cx="5943600" cy="7691755"/>
            <wp:effectExtent l="0" t="0" r="0" b="4445"/>
            <wp:docPr id="35"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12979" name="Picture 35" descr="Text, letter&#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C926CB" w:rsidRPr="008166D7" w:rsidSect="00CA5AA8">
      <w:pgSz w:w="12240" w:h="15840"/>
      <w:pgMar w:top="1440" w:right="1440" w:bottom="720" w:left="1440" w:header="1526" w:footer="7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885E9E" w14:textId="77777777" w:rsidR="00AC2B6D" w:rsidRDefault="00AC2B6D">
      <w:r>
        <w:separator/>
      </w:r>
    </w:p>
  </w:endnote>
  <w:endnote w:type="continuationSeparator" w:id="0">
    <w:p w14:paraId="1183DE5B" w14:textId="77777777" w:rsidR="00AC2B6D" w:rsidRDefault="00AC2B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ld">
    <w:altName w:val="Times New Roman"/>
    <w:panose1 w:val="020B0604020202020204"/>
    <w:charset w:val="00"/>
    <w:family w:val="roman"/>
    <w:pitch w:val="variable"/>
    <w:sig w:usb0="E0002AE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1" w14:textId="4C53C0B1" w:rsidR="00DB392C" w:rsidRDefault="00813998" w:rsidP="00D4244D">
    <w:pPr>
      <w:pStyle w:val="Corpsdetexte"/>
      <w:numPr>
        <w:ilvl w:val="0"/>
        <w:numId w:val="0"/>
      </w:numPr>
      <w:jc w:val="right"/>
      <w:rPr>
        <w:sz w:val="20"/>
      </w:rPr>
    </w:pPr>
    <w:r>
      <w:rPr>
        <w:rFonts w:ascii="Gadugi" w:eastAsia="Gadugi" w:hAnsi="Gadugi" w:cs="Gadugi"/>
        <w:sz w:val="20"/>
        <w:lang w:bidi="fr-CA"/>
      </w:rPr>
      <w:t xml:space="preserve">Page </w:t>
    </w:r>
    <w:r w:rsidRPr="00244A60">
      <w:rPr>
        <w:rFonts w:ascii="Gadugi" w:eastAsia="Gadugi" w:hAnsi="Gadugi" w:cs="Gadugi"/>
        <w:sz w:val="20"/>
        <w:lang w:bidi="fr-CA"/>
      </w:rPr>
      <w:fldChar w:fldCharType="begin"/>
    </w:r>
    <w:r w:rsidRPr="00244A60">
      <w:rPr>
        <w:rFonts w:ascii="Gadugi" w:eastAsia="Gadugi" w:hAnsi="Gadugi" w:cs="Gadugi"/>
        <w:sz w:val="20"/>
        <w:lang w:bidi="fr-CA"/>
      </w:rPr>
      <w:instrText xml:space="preserve"> PAGE   \* MERGEFORMAT </w:instrText>
    </w:r>
    <w:r w:rsidRPr="00244A60">
      <w:rPr>
        <w:rFonts w:ascii="Gadugi" w:eastAsia="Gadugi" w:hAnsi="Gadugi" w:cs="Gadugi"/>
        <w:sz w:val="20"/>
        <w:lang w:bidi="fr-CA"/>
      </w:rPr>
      <w:fldChar w:fldCharType="separate"/>
    </w:r>
    <w:r w:rsidRPr="00244A60">
      <w:rPr>
        <w:rFonts w:ascii="Gadugi" w:eastAsia="Gadugi" w:hAnsi="Gadugi" w:cs="Gadugi"/>
        <w:noProof/>
        <w:sz w:val="20"/>
        <w:lang w:bidi="fr-CA"/>
      </w:rPr>
      <w:t>1</w:t>
    </w:r>
    <w:r w:rsidRPr="00244A60">
      <w:rPr>
        <w:rFonts w:ascii="Gadugi" w:eastAsia="Gadugi" w:hAnsi="Gadugi" w:cs="Gadugi"/>
        <w:noProof/>
        <w:sz w:val="20"/>
        <w:lang w:bidi="fr-C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96970" w14:textId="77777777" w:rsidR="00DB392C" w:rsidRDefault="00813998" w:rsidP="00D4244D">
    <w:pPr>
      <w:pStyle w:val="Corpsdetexte"/>
      <w:numPr>
        <w:ilvl w:val="0"/>
        <w:numId w:val="0"/>
      </w:numPr>
      <w:jc w:val="right"/>
      <w:rPr>
        <w:sz w:val="20"/>
      </w:rPr>
    </w:pPr>
    <w:r>
      <w:rPr>
        <w:rFonts w:ascii="Gadugi" w:eastAsia="Gadugi" w:hAnsi="Gadugi" w:cs="Gadugi"/>
        <w:sz w:val="20"/>
        <w:lang w:bidi="fr-CA"/>
      </w:rPr>
      <w:t xml:space="preserve">Page </w:t>
    </w:r>
    <w:r w:rsidRPr="00244A60">
      <w:rPr>
        <w:rFonts w:ascii="Gadugi" w:eastAsia="Gadugi" w:hAnsi="Gadugi" w:cs="Gadugi"/>
        <w:sz w:val="20"/>
        <w:lang w:bidi="fr-CA"/>
      </w:rPr>
      <w:fldChar w:fldCharType="begin"/>
    </w:r>
    <w:r w:rsidRPr="00244A60">
      <w:rPr>
        <w:rFonts w:ascii="Gadugi" w:eastAsia="Gadugi" w:hAnsi="Gadugi" w:cs="Gadugi"/>
        <w:sz w:val="20"/>
        <w:lang w:bidi="fr-CA"/>
      </w:rPr>
      <w:instrText xml:space="preserve"> PAGE   \* MERGEFORMAT </w:instrText>
    </w:r>
    <w:r w:rsidRPr="00244A60">
      <w:rPr>
        <w:rFonts w:ascii="Gadugi" w:eastAsia="Gadugi" w:hAnsi="Gadugi" w:cs="Gadugi"/>
        <w:sz w:val="20"/>
        <w:lang w:bidi="fr-CA"/>
      </w:rPr>
      <w:fldChar w:fldCharType="separate"/>
    </w:r>
    <w:r w:rsidR="009A009D">
      <w:rPr>
        <w:rFonts w:ascii="Gadugi" w:eastAsia="Gadugi" w:hAnsi="Gadugi" w:cs="Gadugi"/>
        <w:noProof/>
        <w:sz w:val="20"/>
        <w:lang w:bidi="fr-CA"/>
      </w:rPr>
      <w:t>7</w:t>
    </w:r>
    <w:r w:rsidRPr="00244A60">
      <w:rPr>
        <w:rFonts w:ascii="Gadugi" w:eastAsia="Gadugi" w:hAnsi="Gadugi" w:cs="Gadugi"/>
        <w:noProof/>
        <w:sz w:val="20"/>
        <w:lang w:bidi="fr-CA"/>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A" w14:textId="77777777" w:rsidR="00DB392C" w:rsidRDefault="00813998" w:rsidP="0060450A">
    <w:pPr>
      <w:pStyle w:val="Corpsdetexte"/>
      <w:numPr>
        <w:ilvl w:val="0"/>
        <w:numId w:val="0"/>
      </w:numPr>
      <w:ind w:left="907"/>
      <w:rPr>
        <w:sz w:val="20"/>
      </w:rPr>
    </w:pPr>
    <w:r>
      <w:rPr>
        <w:rFonts w:ascii="Gadugi" w:eastAsia="Gadugi" w:hAnsi="Gadugi" w:cs="Gadugi"/>
        <w:noProof/>
        <w:lang w:bidi="fr-CA"/>
      </w:rPr>
      <mc:AlternateContent>
        <mc:Choice Requires="wps">
          <w:drawing>
            <wp:anchor distT="0" distB="0" distL="114300" distR="114300" simplePos="0" relativeHeight="251652608" behindDoc="1" locked="0" layoutInCell="1" allowOverlap="1" wp14:anchorId="0236C204" wp14:editId="09BDD1CC">
              <wp:simplePos x="0" y="0"/>
              <wp:positionH relativeFrom="page">
                <wp:posOffset>6522085</wp:posOffset>
              </wp:positionH>
              <wp:positionV relativeFrom="page">
                <wp:posOffset>9448165</wp:posOffset>
              </wp:positionV>
              <wp:extent cx="470535" cy="165735"/>
              <wp:effectExtent l="0" t="0" r="0" b="0"/>
              <wp:wrapNone/>
              <wp:docPr id="1789415344"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8E03A" w14:textId="77777777" w:rsidR="00DB392C" w:rsidRDefault="00813998">
                          <w:pPr>
                            <w:spacing w:before="10"/>
                            <w:ind w:left="20"/>
                            <w:rPr>
                              <w:sz w:val="20"/>
                            </w:rPr>
                          </w:pPr>
                          <w:r>
                            <w:rPr>
                              <w:rFonts w:ascii="Gadugi" w:eastAsia="Gadugi" w:hAnsi="Gadugi" w:cs="Gadugi"/>
                              <w:sz w:val="20"/>
                              <w:lang w:bidi="fr-CA"/>
                            </w:rPr>
                            <w:t xml:space="preserve">Page </w:t>
                          </w:r>
                          <w:r>
                            <w:rPr>
                              <w:rFonts w:ascii="Gadugi" w:eastAsia="Gadugi" w:hAnsi="Gadugi" w:cs="Gadugi"/>
                              <w:lang w:bidi="fr-CA"/>
                            </w:rPr>
                            <w:fldChar w:fldCharType="begin"/>
                          </w:r>
                          <w:r>
                            <w:rPr>
                              <w:rFonts w:ascii="Gadugi" w:eastAsia="Gadugi" w:hAnsi="Gadugi" w:cs="Gadugi"/>
                              <w:sz w:val="20"/>
                              <w:lang w:bidi="fr-CA"/>
                            </w:rPr>
                            <w:instrText xml:space="preserve"> PAGE </w:instrText>
                          </w:r>
                          <w:r>
                            <w:rPr>
                              <w:rFonts w:ascii="Gadugi" w:eastAsia="Gadugi" w:hAnsi="Gadugi" w:cs="Gadugi"/>
                              <w:lang w:bidi="fr-CA"/>
                            </w:rPr>
                            <w:fldChar w:fldCharType="separate"/>
                          </w:r>
                          <w:r w:rsidR="009A009D">
                            <w:rPr>
                              <w:rFonts w:ascii="Gadugi" w:eastAsia="Gadugi" w:hAnsi="Gadugi" w:cs="Gadugi"/>
                              <w:noProof/>
                              <w:sz w:val="20"/>
                              <w:lang w:bidi="fr-CA"/>
                            </w:rPr>
                            <w:t>90</w:t>
                          </w:r>
                          <w:r>
                            <w:rPr>
                              <w:rFonts w:ascii="Gadugi" w:eastAsia="Gadugi" w:hAnsi="Gadugi" w:cs="Gadugi"/>
                              <w:lang w:bidi="fr-CA"/>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0236C204" id="_x0000_t202" coordsize="21600,21600" o:spt="202" path="m,l,21600r21600,l21600,xe">
              <v:stroke joinstyle="miter"/>
              <v:path gradientshapeok="t" o:connecttype="rect"/>
            </v:shapetype>
            <v:shape id="docshape1" o:spid="_x0000_s1026" type="#_x0000_t202" style="position:absolute;left:0;text-align:left;margin-left:513.55pt;margin-top:743.95pt;width:37.05pt;height:13.0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" filled="f" stroked="f">
              <v:textbox inset="0,0,0,0">
                <w:txbxContent>
                  <w:p w14:paraId="2EB8E03A" w14:textId="77777777" w:rsidR="00DB392C" w:rsidRDefault="00813998">
                    <w:pPr>
                      <w:spacing w:before="10"/>
                      <w:ind w:left="20"/>
                      <w:rPr>
                        <w:sz w:val="20"/>
                      </w:rPr>
                    </w:pPr>
                    <w:r>
                      <w:rPr>
                        <w:rFonts w:ascii="Gadugi" w:eastAsia="Gadugi" w:hAnsi="Gadugi" w:cs="Gadugi"/>
                        <w:sz w:val="20"/>
                        <w:lang w:bidi="fr-CA"/>
                      </w:rPr>
                      <w:t xml:space="preserve">Page </w:t>
                    </w:r>
                    <w:r>
                      <w:rPr>
                        <w:rFonts w:ascii="Gadugi" w:eastAsia="Gadugi" w:hAnsi="Gadugi" w:cs="Gadugi"/>
                        <w:lang w:bidi="fr-CA"/>
                      </w:rPr>
                      <w:fldChar w:fldCharType="begin"/>
                    </w:r>
                    <w:r>
                      <w:rPr>
                        <w:rFonts w:ascii="Gadugi" w:eastAsia="Gadugi" w:hAnsi="Gadugi" w:cs="Gadugi"/>
                        <w:sz w:val="20"/>
                        <w:lang w:bidi="fr-CA"/>
                      </w:rPr>
                      <w:instrText xml:space="preserve"> PAGE </w:instrText>
                    </w:r>
                    <w:r>
                      <w:rPr>
                        <w:rFonts w:ascii="Gadugi" w:eastAsia="Gadugi" w:hAnsi="Gadugi" w:cs="Gadugi"/>
                        <w:lang w:bidi="fr-CA"/>
                      </w:rPr>
                      <w:fldChar w:fldCharType="separate"/>
                    </w:r>
                    <w:r w:rsidR="009A009D">
                      <w:rPr>
                        <w:rFonts w:ascii="Gadugi" w:eastAsia="Gadugi" w:hAnsi="Gadugi" w:cs="Gadugi"/>
                        <w:noProof/>
                        <w:sz w:val="20"/>
                        <w:lang w:bidi="fr-CA"/>
                      </w:rPr>
                      <w:t>90</w:t>
                    </w:r>
                    <w:r>
                      <w:rPr>
                        <w:rFonts w:ascii="Gadugi" w:eastAsia="Gadugi" w:hAnsi="Gadugi" w:cs="Gadugi"/>
                        <w:lang w:bidi="fr-CA"/>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FEC554" w14:textId="77777777" w:rsidR="00AC2B6D" w:rsidRDefault="00AC2B6D">
      <w:r>
        <w:separator/>
      </w:r>
    </w:p>
  </w:footnote>
  <w:footnote w:type="continuationSeparator" w:id="0">
    <w:p w14:paraId="2E41A1F8" w14:textId="77777777" w:rsidR="00AC2B6D" w:rsidRDefault="00AC2B6D">
      <w:r>
        <w:continuationSeparator/>
      </w:r>
    </w:p>
  </w:footnote>
  <w:footnote w:id="1">
    <w:p w14:paraId="7262CA35" w14:textId="77777777" w:rsidR="00DB392C" w:rsidRPr="008166D7" w:rsidRDefault="00813998" w:rsidP="002230C0">
      <w:pPr>
        <w:pStyle w:val="Notedebasdepage"/>
        <w:ind w:left="360" w:hanging="360"/>
        <w:rPr>
          <w:lang w:val="fr-FR"/>
        </w:rPr>
      </w:pPr>
      <w:r w:rsidRPr="002230C0">
        <w:rPr>
          <w:rStyle w:val="Appelnotedebasdep"/>
          <w:rFonts w:ascii="Gadugi" w:eastAsia="Gadugi" w:hAnsi="Gadugi" w:cs="Gadugi"/>
          <w:b/>
          <w:lang w:bidi="fr-CA"/>
        </w:rPr>
        <w:footnoteRef/>
      </w:r>
      <w:r>
        <w:rPr>
          <w:rFonts w:ascii="Gadugi" w:eastAsia="Gadugi" w:hAnsi="Gadugi" w:cs="Gadugi"/>
          <w:lang w:bidi="fr-CA"/>
        </w:rPr>
        <w:tab/>
        <w:t xml:space="preserve">IDMIS - L’indice de la durée moyenne d’interruption de service pour chaque client desservi (généralement mesurée en minutes ou en heures au cours d’une année). </w:t>
      </w:r>
    </w:p>
  </w:footnote>
  <w:footnote w:id="2">
    <w:p w14:paraId="7262CA36" w14:textId="77777777" w:rsidR="00DB392C" w:rsidRPr="008166D7" w:rsidRDefault="00813998" w:rsidP="002230C0">
      <w:pPr>
        <w:pStyle w:val="Notedebasdepage"/>
        <w:ind w:left="360" w:hanging="360"/>
        <w:rPr>
          <w:lang w:val="fr-FR"/>
        </w:rPr>
      </w:pPr>
      <w:r w:rsidRPr="002230C0">
        <w:rPr>
          <w:rStyle w:val="Appelnotedebasdep"/>
          <w:rFonts w:ascii="Gadugi" w:eastAsia="Gadugi" w:hAnsi="Gadugi" w:cs="Gadugi"/>
          <w:b/>
          <w:lang w:bidi="fr-CA"/>
        </w:rPr>
        <w:footnoteRef/>
      </w:r>
      <w:r>
        <w:rPr>
          <w:rFonts w:ascii="Gadugi" w:eastAsia="Gadugi" w:hAnsi="Gadugi" w:cs="Gadugi"/>
          <w:lang w:bidi="fr-CA"/>
        </w:rPr>
        <w:tab/>
        <w:t>IFMIS —L’IFMIS est le nombre moyen d’interruptions que subirait le client (généralement mesuré en unités d’interruptions par client au cours d’un an).</w:t>
      </w:r>
    </w:p>
  </w:footnote>
  <w:footnote w:id="3">
    <w:p w14:paraId="2D39A2D8" w14:textId="39700E0C" w:rsidR="00DB392C" w:rsidRPr="0038064D" w:rsidRDefault="00813998" w:rsidP="001D0AEA">
      <w:pPr>
        <w:pStyle w:val="Notedebasdepage"/>
        <w:ind w:left="360" w:hanging="360"/>
        <w:rPr>
          <w:lang w:val="en-CA"/>
        </w:rPr>
      </w:pPr>
      <w:r w:rsidRPr="0038064D">
        <w:rPr>
          <w:rStyle w:val="Appelnotedebasdep"/>
          <w:b/>
          <w:bCs/>
        </w:rPr>
        <w:footnoteRef/>
      </w:r>
      <w:r>
        <w:rPr>
          <w:lang w:val="en-CA" w:eastAsia="en-CA" w:bidi="en-CA"/>
        </w:rPr>
        <w:tab/>
        <w:t>Report 2018-01, Qulliq Energy Corporation’s 2018/19 General Rate Application.</w:t>
      </w:r>
    </w:p>
  </w:footnote>
  <w:footnote w:id="4">
    <w:p w14:paraId="7262CA37" w14:textId="1B368CCF" w:rsidR="00DB392C" w:rsidRPr="007D7DA6" w:rsidRDefault="00813998" w:rsidP="00147034">
      <w:pPr>
        <w:pStyle w:val="Notedebasdepage"/>
        <w:ind w:left="360" w:hanging="360"/>
        <w:rPr>
          <w:lang w:val="en-CA"/>
        </w:rPr>
      </w:pPr>
      <w:r w:rsidRPr="00147034">
        <w:rPr>
          <w:rStyle w:val="Appelnotedebasdep"/>
          <w:b/>
          <w:bCs/>
        </w:rPr>
        <w:footnoteRef/>
      </w:r>
      <w:r w:rsidRPr="008166D7">
        <w:rPr>
          <w:lang w:val="en-US"/>
        </w:rPr>
        <w:tab/>
        <w:t xml:space="preserve">The submissions by residents/domestic customers and QEC’s responses to those submissions were summarized to avoid disclosing personal information.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1F" w14:textId="77777777" w:rsidR="00DB392C" w:rsidRDefault="00813998" w:rsidP="00EF592C">
    <w:pPr>
      <w:pStyle w:val="En-tte"/>
    </w:pPr>
    <w:r>
      <w:rPr>
        <w:rFonts w:ascii="Gadugi" w:eastAsia="Gadugi" w:hAnsi="Gadugi" w:cs="Gadugi"/>
        <w:noProof/>
        <w:lang w:bidi="fr-CA"/>
      </w:rPr>
      <mc:AlternateContent>
        <mc:Choice Requires="wps">
          <w:drawing>
            <wp:anchor distT="0" distB="0" distL="114300" distR="114300" simplePos="0" relativeHeight="251654656" behindDoc="1" locked="0" layoutInCell="1" allowOverlap="1" wp14:anchorId="6A6B85A4" wp14:editId="39F2CC94">
              <wp:simplePos x="0" y="0"/>
              <wp:positionH relativeFrom="page">
                <wp:posOffset>914400</wp:posOffset>
              </wp:positionH>
              <wp:positionV relativeFrom="page">
                <wp:posOffset>969010</wp:posOffset>
              </wp:positionV>
              <wp:extent cx="5980430" cy="12700"/>
              <wp:effectExtent l="0" t="0" r="0" b="0"/>
              <wp:wrapNone/>
              <wp:docPr id="188410916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C0F6D3" id="Line 2" o:spid="_x0000_s1026" style="position:absolute;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" strokecolor="#dbdbdb">
              <w10:wrap anchorx="page" anchory="page"/>
            </v:line>
          </w:pict>
        </mc:Fallback>
      </mc:AlternateContent>
    </w:r>
  </w:p>
  <w:p w14:paraId="7262CA20" w14:textId="77777777" w:rsidR="00DB392C" w:rsidRPr="00EF592C" w:rsidRDefault="00DB392C" w:rsidP="00EF592C">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D53AC" w14:textId="1E13E2AB" w:rsidR="00DB392C" w:rsidRDefault="00041AA1" w:rsidP="002335B9">
    <w:pPr>
      <w:pStyle w:val="En-tte"/>
      <w:tabs>
        <w:tab w:val="clear" w:pos="4680"/>
        <w:tab w:val="clear" w:pos="9360"/>
        <w:tab w:val="left" w:pos="4069"/>
        <w:tab w:val="center" w:pos="6840"/>
      </w:tabs>
    </w:pPr>
    <w:r>
      <w:rPr>
        <w:rFonts w:ascii="Gadugi" w:eastAsia="Gadugi" w:hAnsi="Gadugi" w:cs="Gadugi"/>
        <w:noProof/>
        <w:lang w:bidi="fr-CA"/>
      </w:rPr>
      <mc:AlternateContent>
        <mc:Choice Requires="wps">
          <w:drawing>
            <wp:anchor distT="0" distB="0" distL="114300" distR="114300" simplePos="0" relativeHeight="251663872" behindDoc="1" locked="0" layoutInCell="1" allowOverlap="1" wp14:anchorId="7BEB72FD" wp14:editId="4DF0A59F">
              <wp:simplePos x="0" y="0"/>
              <wp:positionH relativeFrom="margin">
                <wp:posOffset>357809</wp:posOffset>
              </wp:positionH>
              <wp:positionV relativeFrom="page">
                <wp:posOffset>976602</wp:posOffset>
              </wp:positionV>
              <wp:extent cx="8438625" cy="23854"/>
              <wp:effectExtent l="0" t="0" r="19685" b="33655"/>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A11DFF" id="Line 2" o:spid="_x0000_s1026" style="position:absolute;flip:y;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28.15pt,76.9pt" to="692.6pt,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" strokecolor="#dbdbdb">
              <w10:wrap anchorx="margin" anchory="page"/>
            </v:line>
          </w:pict>
        </mc:Fallback>
      </mc:AlternateContent>
    </w:r>
  </w:p>
  <w:p w14:paraId="26CFD3D7" w14:textId="77777777" w:rsidR="00DB392C" w:rsidRPr="00EF592C" w:rsidRDefault="00DB392C" w:rsidP="00EF592C">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A4115" w14:textId="77777777" w:rsidR="00DB392C" w:rsidRDefault="00813998" w:rsidP="00EF592C">
    <w:pPr>
      <w:pStyle w:val="En-tte"/>
    </w:pPr>
    <w:r>
      <w:rPr>
        <w:rFonts w:ascii="Gadugi" w:eastAsia="Gadugi" w:hAnsi="Gadugi" w:cs="Gadugi"/>
        <w:noProof/>
        <w:lang w:bidi="fr-CA"/>
      </w:rPr>
      <mc:AlternateContent>
        <mc:Choice Requires="wps">
          <w:drawing>
            <wp:anchor distT="0" distB="0" distL="114300" distR="114300" simplePos="0" relativeHeight="251661824" behindDoc="1" locked="0" layoutInCell="1" allowOverlap="1" wp14:anchorId="3632BF0C" wp14:editId="53D8078D">
              <wp:simplePos x="0" y="0"/>
              <wp:positionH relativeFrom="page">
                <wp:posOffset>914400</wp:posOffset>
              </wp:positionH>
              <wp:positionV relativeFrom="page">
                <wp:posOffset>969010</wp:posOffset>
              </wp:positionV>
              <wp:extent cx="5980430" cy="12700"/>
              <wp:effectExtent l="0" t="0" r="0" b="0"/>
              <wp:wrapNone/>
              <wp:docPr id="4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6A3EE" id="Line 2"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" strokecolor="#dbdbdb">
              <w10:wrap anchorx="page" anchory="page"/>
            </v:line>
          </w:pict>
        </mc:Fallback>
      </mc:AlternateContent>
    </w:r>
  </w:p>
  <w:p w14:paraId="673F6219" w14:textId="77777777" w:rsidR="00DB392C" w:rsidRPr="00EF592C" w:rsidRDefault="00DB392C" w:rsidP="00EF592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5" w14:textId="77777777" w:rsidR="00DB392C" w:rsidRDefault="00DB392C" w:rsidP="00EF592C">
    <w:pPr>
      <w:pStyle w:val="En-tte"/>
    </w:pPr>
  </w:p>
  <w:p w14:paraId="7262CA26" w14:textId="77777777" w:rsidR="00DB392C" w:rsidRPr="00EF592C" w:rsidRDefault="00DB392C" w:rsidP="00EF592C">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7" w14:textId="77777777" w:rsidR="00DB392C" w:rsidRPr="002E1C79" w:rsidRDefault="00DB392C" w:rsidP="002E1C7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8" w14:textId="77777777" w:rsidR="00DB392C" w:rsidRDefault="00813998" w:rsidP="00EF592C">
    <w:pPr>
      <w:pStyle w:val="En-tte"/>
    </w:pPr>
    <w:r>
      <w:rPr>
        <w:rFonts w:ascii="Gadugi" w:eastAsia="Gadugi" w:hAnsi="Gadugi" w:cs="Gadugi"/>
        <w:noProof/>
        <w:lang w:bidi="fr-CA"/>
      </w:rPr>
      <mc:AlternateContent>
        <mc:Choice Requires="wps">
          <w:drawing>
            <wp:anchor distT="0" distB="0" distL="114300" distR="114300" simplePos="0" relativeHeight="251653632" behindDoc="1" locked="0" layoutInCell="1" allowOverlap="1" wp14:anchorId="329F281A" wp14:editId="1ED23B39">
              <wp:simplePos x="0" y="0"/>
              <wp:positionH relativeFrom="page">
                <wp:posOffset>914400</wp:posOffset>
              </wp:positionH>
              <wp:positionV relativeFrom="page">
                <wp:posOffset>969010</wp:posOffset>
              </wp:positionV>
              <wp:extent cx="5980430" cy="12700"/>
              <wp:effectExtent l="0" t="0" r="0" b="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3348F" id="Line 2" o:spid="_x0000_s1026" style="position:absolute;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" strokecolor="#dbdbdb">
              <w10:wrap anchorx="page" anchory="page"/>
            </v:line>
          </w:pict>
        </mc:Fallback>
      </mc:AlternateContent>
    </w:r>
  </w:p>
  <w:p w14:paraId="7262CA29" w14:textId="77777777" w:rsidR="00DB392C" w:rsidRPr="00EF592C" w:rsidRDefault="00DB392C" w:rsidP="00EF592C">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565BA" w14:textId="77777777" w:rsidR="00DB392C" w:rsidRDefault="00813998" w:rsidP="00EF592C">
    <w:pPr>
      <w:pStyle w:val="En-tte"/>
    </w:pPr>
    <w:r>
      <w:rPr>
        <w:rFonts w:ascii="Gadugi" w:eastAsia="Gadugi" w:hAnsi="Gadugi" w:cs="Gadugi"/>
        <w:noProof/>
        <w:lang w:bidi="fr-CA"/>
      </w:rPr>
      <mc:AlternateContent>
        <mc:Choice Requires="wps">
          <w:drawing>
            <wp:anchor distT="0" distB="0" distL="114300" distR="114300" simplePos="0" relativeHeight="251655680" behindDoc="1" locked="0" layoutInCell="1" allowOverlap="1" wp14:anchorId="52263762" wp14:editId="1F2784E2">
              <wp:simplePos x="0" y="0"/>
              <wp:positionH relativeFrom="page">
                <wp:posOffset>914400</wp:posOffset>
              </wp:positionH>
              <wp:positionV relativeFrom="page">
                <wp:posOffset>969010</wp:posOffset>
              </wp:positionV>
              <wp:extent cx="5980430" cy="12700"/>
              <wp:effectExtent l="0" t="0" r="0" b="0"/>
              <wp:wrapNone/>
              <wp:docPr id="3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57904A" id="Line 2"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" strokecolor="#dbdbdb">
              <w10:wrap anchorx="page" anchory="page"/>
            </v:line>
          </w:pict>
        </mc:Fallback>
      </mc:AlternateContent>
    </w:r>
  </w:p>
  <w:p w14:paraId="4CFC4D09" w14:textId="77777777" w:rsidR="00DB392C" w:rsidRPr="00EF592C" w:rsidRDefault="00DB392C" w:rsidP="00EF592C">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05925" w14:textId="172B1336" w:rsidR="00DB392C" w:rsidRDefault="00310511" w:rsidP="004F124D">
    <w:pPr>
      <w:pStyle w:val="En-tte"/>
      <w:tabs>
        <w:tab w:val="clear" w:pos="4680"/>
        <w:tab w:val="clear" w:pos="9360"/>
        <w:tab w:val="left" w:pos="6361"/>
        <w:tab w:val="left" w:pos="11662"/>
      </w:tabs>
    </w:pPr>
    <w:r>
      <w:rPr>
        <w:rFonts w:ascii="Gadugi" w:eastAsia="Gadugi" w:hAnsi="Gadugi" w:cs="Gadugi"/>
        <w:noProof/>
        <w:lang w:bidi="fr-CA"/>
      </w:rPr>
      <mc:AlternateContent>
        <mc:Choice Requires="wps">
          <w:drawing>
            <wp:anchor distT="0" distB="0" distL="114300" distR="114300" simplePos="0" relativeHeight="251665920" behindDoc="1" locked="0" layoutInCell="1" allowOverlap="1" wp14:anchorId="6A8CBFE1" wp14:editId="06BC80ED">
              <wp:simplePos x="0" y="0"/>
              <wp:positionH relativeFrom="margin">
                <wp:posOffset>232741</wp:posOffset>
              </wp:positionH>
              <wp:positionV relativeFrom="page">
                <wp:posOffset>969010</wp:posOffset>
              </wp:positionV>
              <wp:extent cx="8438625" cy="23854"/>
              <wp:effectExtent l="0" t="0" r="19685" b="33655"/>
              <wp:wrapNone/>
              <wp:docPr id="3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E925E" id="Line 2" o:spid="_x0000_s1026" style="position:absolute;flip:y;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18.35pt,76.3pt" to="682.8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" strokecolor="#dbdbdb">
              <w10:wrap anchorx="margin" anchory="page"/>
            </v:line>
          </w:pict>
        </mc:Fallback>
      </mc:AlternateContent>
    </w:r>
  </w:p>
  <w:p w14:paraId="5098D94D" w14:textId="40BB1695" w:rsidR="00DB392C" w:rsidRPr="00EF592C" w:rsidRDefault="00DB392C" w:rsidP="00EF592C">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49C35" w14:textId="77777777" w:rsidR="00DB392C" w:rsidRDefault="00813998" w:rsidP="00EF592C">
    <w:pPr>
      <w:pStyle w:val="En-tte"/>
    </w:pPr>
    <w:r>
      <w:rPr>
        <w:rFonts w:ascii="Gadugi" w:eastAsia="Gadugi" w:hAnsi="Gadugi" w:cs="Gadugi"/>
        <w:noProof/>
        <w:lang w:bidi="fr-CA"/>
      </w:rPr>
      <mc:AlternateContent>
        <mc:Choice Requires="wps">
          <w:drawing>
            <wp:anchor distT="0" distB="0" distL="114300" distR="114300" simplePos="0" relativeHeight="251657728" behindDoc="1" locked="0" layoutInCell="1" allowOverlap="1" wp14:anchorId="6094094A" wp14:editId="2A35392C">
              <wp:simplePos x="0" y="0"/>
              <wp:positionH relativeFrom="page">
                <wp:posOffset>914400</wp:posOffset>
              </wp:positionH>
              <wp:positionV relativeFrom="page">
                <wp:posOffset>969010</wp:posOffset>
              </wp:positionV>
              <wp:extent cx="5980430" cy="12700"/>
              <wp:effectExtent l="0" t="0" r="0" b="0"/>
              <wp:wrapNone/>
              <wp:docPr id="4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5470C2" id="Line 2"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" strokecolor="#dbdbdb">
              <w10:wrap anchorx="page" anchory="page"/>
            </v:line>
          </w:pict>
        </mc:Fallback>
      </mc:AlternateContent>
    </w:r>
  </w:p>
  <w:p w14:paraId="7A798E05" w14:textId="77777777" w:rsidR="00DB392C" w:rsidRPr="00EF592C" w:rsidRDefault="00DB392C" w:rsidP="00EF592C">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D98CD" w14:textId="77777777" w:rsidR="00DB392C" w:rsidRDefault="00813998" w:rsidP="00EF592C">
    <w:pPr>
      <w:pStyle w:val="En-tte"/>
    </w:pPr>
    <w:r>
      <w:rPr>
        <w:rFonts w:ascii="Gadugi" w:eastAsia="Gadugi" w:hAnsi="Gadugi" w:cs="Gadugi"/>
        <w:noProof/>
        <w:lang w:bidi="fr-CA"/>
      </w:rPr>
      <mc:AlternateContent>
        <mc:Choice Requires="wps">
          <w:drawing>
            <wp:anchor distT="0" distB="0" distL="114300" distR="114300" simplePos="0" relativeHeight="251658752" behindDoc="1" locked="0" layoutInCell="1" allowOverlap="1" wp14:anchorId="56DF05EE" wp14:editId="3EDBB798">
              <wp:simplePos x="0" y="0"/>
              <wp:positionH relativeFrom="margin">
                <wp:align>right</wp:align>
              </wp:positionH>
              <wp:positionV relativeFrom="page">
                <wp:posOffset>938253</wp:posOffset>
              </wp:positionV>
              <wp:extent cx="8438625" cy="23854"/>
              <wp:effectExtent l="0" t="0" r="19685" b="33655"/>
              <wp:wrapNone/>
              <wp:docPr id="4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F48525" id="Line 2" o:spid="_x0000_s1026" style="position:absolute;flip:y;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613.25pt,73.9pt" to="1277.7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" strokecolor="#dbdbdb">
              <w10:wrap anchorx="margin" anchory="page"/>
            </v:line>
          </w:pict>
        </mc:Fallback>
      </mc:AlternateContent>
    </w:r>
  </w:p>
  <w:p w14:paraId="3EEBE4B0" w14:textId="77777777" w:rsidR="00DB392C" w:rsidRPr="00EF592C" w:rsidRDefault="00DB392C" w:rsidP="00EF592C">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B93FF" w14:textId="47D58D78" w:rsidR="00DB392C" w:rsidRDefault="00813998" w:rsidP="002335B9">
    <w:pPr>
      <w:pStyle w:val="En-tte"/>
      <w:tabs>
        <w:tab w:val="clear" w:pos="4680"/>
        <w:tab w:val="clear" w:pos="9360"/>
        <w:tab w:val="left" w:pos="1615"/>
      </w:tabs>
    </w:pPr>
    <w:r>
      <w:rPr>
        <w:rFonts w:ascii="Gadugi" w:eastAsia="Gadugi" w:hAnsi="Gadugi" w:cs="Gadugi"/>
        <w:noProof/>
        <w:lang w:bidi="fr-CA"/>
      </w:rPr>
      <mc:AlternateContent>
        <mc:Choice Requires="wps">
          <w:drawing>
            <wp:anchor distT="0" distB="0" distL="114300" distR="114300" simplePos="0" relativeHeight="251659776" behindDoc="1" locked="0" layoutInCell="1" allowOverlap="1" wp14:anchorId="4661398A" wp14:editId="1AE94CB6">
              <wp:simplePos x="0" y="0"/>
              <wp:positionH relativeFrom="page">
                <wp:posOffset>914400</wp:posOffset>
              </wp:positionH>
              <wp:positionV relativeFrom="page">
                <wp:posOffset>969010</wp:posOffset>
              </wp:positionV>
              <wp:extent cx="5980430" cy="12700"/>
              <wp:effectExtent l="0" t="0" r="0" b="0"/>
              <wp:wrapNone/>
              <wp:docPr id="4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F51F1" id="Line 2"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" strokecolor="#dbdbdb">
              <w10:wrap anchorx="page" anchory="page"/>
            </v:line>
          </w:pict>
        </mc:Fallback>
      </mc:AlternateContent>
    </w:r>
    <w:r w:rsidR="002335B9">
      <w:rPr>
        <w:rFonts w:ascii="Gadugi" w:eastAsia="Gadugi" w:hAnsi="Gadugi" w:cs="Gadugi"/>
        <w:lang w:bidi="fr-CA"/>
      </w:rPr>
      <w:tab/>
    </w:r>
  </w:p>
  <w:p w14:paraId="368987F6" w14:textId="77777777" w:rsidR="00DB392C" w:rsidRPr="00EF592C" w:rsidRDefault="00DB392C" w:rsidP="00EF592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4FAE"/>
    <w:multiLevelType w:val="multilevel"/>
    <w:tmpl w:val="3DB6CABE"/>
    <w:lvl w:ilvl="0">
      <w:start w:val="18"/>
      <w:numFmt w:val="decimal"/>
      <w:lvlText w:val="%1"/>
      <w:lvlJc w:val="left"/>
      <w:pPr>
        <w:ind w:left="993" w:hanging="526"/>
      </w:pPr>
      <w:rPr>
        <w:rFonts w:hint="default"/>
      </w:rPr>
    </w:lvl>
    <w:lvl w:ilvl="1">
      <w:start w:val="1"/>
      <w:numFmt w:val="decimal"/>
      <w:lvlText w:val="%1.%2"/>
      <w:lvlJc w:val="left"/>
      <w:pPr>
        <w:ind w:left="993" w:hanging="526"/>
      </w:pPr>
      <w:rPr>
        <w:rFonts w:ascii="Times New Roman" w:eastAsia="Times New Roman" w:hAnsi="Times New Roman" w:cs="Times New Roman" w:hint="default"/>
        <w:b w:val="0"/>
        <w:bCs w:val="0"/>
        <w:i w:val="0"/>
        <w:iCs w:val="0"/>
        <w:w w:val="100"/>
        <w:sz w:val="24"/>
        <w:szCs w:val="24"/>
      </w:rPr>
    </w:lvl>
    <w:lvl w:ilvl="2">
      <w:start w:val="1"/>
      <w:numFmt w:val="decimal"/>
      <w:lvlText w:val="(%3)"/>
      <w:lvlJc w:val="left"/>
      <w:pPr>
        <w:ind w:left="1651" w:hanging="353"/>
        <w:jc w:val="right"/>
      </w:pPr>
      <w:rPr>
        <w:rFonts w:ascii="Times New Roman" w:eastAsia="Times New Roman" w:hAnsi="Times New Roman" w:cs="Times New Roman" w:hint="default"/>
        <w:b w:val="0"/>
        <w:bCs w:val="0"/>
        <w:i w:val="0"/>
        <w:iCs w:val="0"/>
        <w:spacing w:val="-1"/>
        <w:w w:val="99"/>
        <w:sz w:val="24"/>
        <w:szCs w:val="24"/>
      </w:rPr>
    </w:lvl>
    <w:lvl w:ilvl="3">
      <w:start w:val="1"/>
      <w:numFmt w:val="lowerLetter"/>
      <w:lvlText w:val="(%4)"/>
      <w:lvlJc w:val="left"/>
      <w:pPr>
        <w:ind w:left="1651" w:hanging="327"/>
      </w:pPr>
      <w:rPr>
        <w:rFonts w:ascii="Times New Roman" w:eastAsia="Times New Roman" w:hAnsi="Times New Roman" w:cs="Times New Roman" w:hint="default"/>
        <w:b w:val="0"/>
        <w:bCs w:val="0"/>
        <w:i w:val="0"/>
        <w:iCs w:val="0"/>
        <w:spacing w:val="-1"/>
        <w:w w:val="99"/>
        <w:sz w:val="24"/>
        <w:szCs w:val="24"/>
      </w:rPr>
    </w:lvl>
    <w:lvl w:ilvl="4">
      <w:numFmt w:val="bullet"/>
      <w:lvlText w:val="•"/>
      <w:lvlJc w:val="left"/>
      <w:pPr>
        <w:ind w:left="4313" w:hanging="327"/>
      </w:pPr>
      <w:rPr>
        <w:rFonts w:hint="default"/>
      </w:rPr>
    </w:lvl>
    <w:lvl w:ilvl="5">
      <w:numFmt w:val="bullet"/>
      <w:lvlText w:val="•"/>
      <w:lvlJc w:val="left"/>
      <w:pPr>
        <w:ind w:left="5197" w:hanging="327"/>
      </w:pPr>
      <w:rPr>
        <w:rFonts w:hint="default"/>
      </w:rPr>
    </w:lvl>
    <w:lvl w:ilvl="6">
      <w:numFmt w:val="bullet"/>
      <w:lvlText w:val="•"/>
      <w:lvlJc w:val="left"/>
      <w:pPr>
        <w:ind w:left="6082" w:hanging="327"/>
      </w:pPr>
      <w:rPr>
        <w:rFonts w:hint="default"/>
      </w:rPr>
    </w:lvl>
    <w:lvl w:ilvl="7">
      <w:numFmt w:val="bullet"/>
      <w:lvlText w:val="•"/>
      <w:lvlJc w:val="left"/>
      <w:pPr>
        <w:ind w:left="6966" w:hanging="327"/>
      </w:pPr>
      <w:rPr>
        <w:rFonts w:hint="default"/>
      </w:rPr>
    </w:lvl>
    <w:lvl w:ilvl="8">
      <w:numFmt w:val="bullet"/>
      <w:lvlText w:val="•"/>
      <w:lvlJc w:val="left"/>
      <w:pPr>
        <w:ind w:left="7851" w:hanging="327"/>
      </w:pPr>
      <w:rPr>
        <w:rFonts w:hint="default"/>
      </w:rPr>
    </w:lvl>
  </w:abstractNum>
  <w:abstractNum w:abstractNumId="1" w15:restartNumberingAfterBreak="0">
    <w:nsid w:val="016A5FEE"/>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2" w15:restartNumberingAfterBreak="0">
    <w:nsid w:val="07EC0E25"/>
    <w:multiLevelType w:val="multilevel"/>
    <w:tmpl w:val="8D569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FC595D"/>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4" w15:restartNumberingAfterBreak="0">
    <w:nsid w:val="10901CE1"/>
    <w:multiLevelType w:val="multilevel"/>
    <w:tmpl w:val="906055FA"/>
    <w:styleLink w:val="HeadingsURRC"/>
    <w:lvl w:ilvl="0">
      <w:start w:val="1"/>
      <w:numFmt w:val="decimal"/>
      <w:pStyle w:val="Heading1URRC"/>
      <w:lvlText w:val="%1.0"/>
      <w:lvlJc w:val="left"/>
      <w:pPr>
        <w:ind w:left="864" w:hanging="864"/>
      </w:pPr>
      <w:rPr>
        <w:rFonts w:ascii="Times New Roman Bold" w:hAnsi="Times New Roman Bold" w:hint="default"/>
        <w:b/>
        <w:i w:val="0"/>
        <w:caps/>
        <w:sz w:val="24"/>
      </w:rPr>
    </w:lvl>
    <w:lvl w:ilvl="1">
      <w:start w:val="1"/>
      <w:numFmt w:val="decimal"/>
      <w:pStyle w:val="Heading2URRC"/>
      <w:lvlText w:val="%1.%2"/>
      <w:lvlJc w:val="left"/>
      <w:pPr>
        <w:ind w:left="864" w:hanging="864"/>
      </w:pPr>
      <w:rPr>
        <w:rFonts w:ascii="Times New Roman Bold" w:hAnsi="Times New Roman Bold" w:hint="default"/>
        <w:b/>
        <w:i w:val="0"/>
        <w:caps/>
        <w:sz w:val="24"/>
      </w:rPr>
    </w:lvl>
    <w:lvl w:ilvl="2">
      <w:start w:val="1"/>
      <w:numFmt w:val="decimal"/>
      <w:pStyle w:val="Heading3URRC"/>
      <w:lvlText w:val="%1.%2.%3"/>
      <w:lvlJc w:val="left"/>
      <w:pPr>
        <w:ind w:left="864" w:hanging="864"/>
      </w:pPr>
      <w:rPr>
        <w:rFonts w:ascii="Times New Roman Bold" w:hAnsi="Times New Roman Bold" w:hint="default"/>
        <w:b/>
        <w:i w:val="0"/>
        <w:caps/>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A8A1E1F"/>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6" w15:restartNumberingAfterBreak="0">
    <w:nsid w:val="2C0C1478"/>
    <w:multiLevelType w:val="hybridMultilevel"/>
    <w:tmpl w:val="CA12BD56"/>
    <w:lvl w:ilvl="0" w:tplc="85208FDC">
      <w:start w:val="1"/>
      <w:numFmt w:val="decimal"/>
      <w:lvlText w:val="%1."/>
      <w:lvlJc w:val="left"/>
      <w:pPr>
        <w:ind w:left="1070" w:hanging="360"/>
      </w:pPr>
      <w:rPr>
        <w:rFonts w:hint="default"/>
      </w:rPr>
    </w:lvl>
    <w:lvl w:ilvl="1" w:tplc="4F9EB548">
      <w:start w:val="1"/>
      <w:numFmt w:val="lowerLetter"/>
      <w:lvlText w:val="%2."/>
      <w:lvlJc w:val="left"/>
      <w:pPr>
        <w:ind w:left="1800" w:hanging="360"/>
      </w:pPr>
    </w:lvl>
    <w:lvl w:ilvl="2" w:tplc="313427FA">
      <w:start w:val="1"/>
      <w:numFmt w:val="lowerLetter"/>
      <w:lvlText w:val="%3."/>
      <w:lvlJc w:val="left"/>
      <w:pPr>
        <w:ind w:left="2520" w:hanging="180"/>
      </w:pPr>
    </w:lvl>
    <w:lvl w:ilvl="3" w:tplc="1F0425B2" w:tentative="1">
      <w:start w:val="1"/>
      <w:numFmt w:val="decimal"/>
      <w:lvlText w:val="%4."/>
      <w:lvlJc w:val="left"/>
      <w:pPr>
        <w:ind w:left="3240" w:hanging="360"/>
      </w:pPr>
    </w:lvl>
    <w:lvl w:ilvl="4" w:tplc="7A1C0BBA" w:tentative="1">
      <w:start w:val="1"/>
      <w:numFmt w:val="lowerLetter"/>
      <w:lvlText w:val="%5."/>
      <w:lvlJc w:val="left"/>
      <w:pPr>
        <w:ind w:left="3960" w:hanging="360"/>
      </w:pPr>
    </w:lvl>
    <w:lvl w:ilvl="5" w:tplc="25965B86" w:tentative="1">
      <w:start w:val="1"/>
      <w:numFmt w:val="lowerRoman"/>
      <w:lvlText w:val="%6."/>
      <w:lvlJc w:val="right"/>
      <w:pPr>
        <w:ind w:left="4680" w:hanging="180"/>
      </w:pPr>
    </w:lvl>
    <w:lvl w:ilvl="6" w:tplc="9F308DFA" w:tentative="1">
      <w:start w:val="1"/>
      <w:numFmt w:val="decimal"/>
      <w:lvlText w:val="%7."/>
      <w:lvlJc w:val="left"/>
      <w:pPr>
        <w:ind w:left="5400" w:hanging="360"/>
      </w:pPr>
    </w:lvl>
    <w:lvl w:ilvl="7" w:tplc="201C5B8C" w:tentative="1">
      <w:start w:val="1"/>
      <w:numFmt w:val="lowerLetter"/>
      <w:lvlText w:val="%8."/>
      <w:lvlJc w:val="left"/>
      <w:pPr>
        <w:ind w:left="6120" w:hanging="360"/>
      </w:pPr>
    </w:lvl>
    <w:lvl w:ilvl="8" w:tplc="5EC297B0" w:tentative="1">
      <w:start w:val="1"/>
      <w:numFmt w:val="lowerRoman"/>
      <w:lvlText w:val="%9."/>
      <w:lvlJc w:val="right"/>
      <w:pPr>
        <w:ind w:left="6840" w:hanging="180"/>
      </w:pPr>
    </w:lvl>
  </w:abstractNum>
  <w:abstractNum w:abstractNumId="7" w15:restartNumberingAfterBreak="0">
    <w:nsid w:val="2DA13BDC"/>
    <w:multiLevelType w:val="multilevel"/>
    <w:tmpl w:val="C7B02D12"/>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8" w15:restartNumberingAfterBreak="0">
    <w:nsid w:val="3EDA78D0"/>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9" w15:restartNumberingAfterBreak="0">
    <w:nsid w:val="43CE0533"/>
    <w:multiLevelType w:val="hybridMultilevel"/>
    <w:tmpl w:val="ED94C52A"/>
    <w:lvl w:ilvl="0" w:tplc="CA1882AC">
      <w:start w:val="1"/>
      <w:numFmt w:val="decimal"/>
      <w:pStyle w:val="Corpsdetexte"/>
      <w:lvlText w:val="%1."/>
      <w:lvlJc w:val="left"/>
      <w:pPr>
        <w:ind w:left="1070" w:hanging="360"/>
      </w:pPr>
      <w:rPr>
        <w:rFonts w:hint="default"/>
      </w:rPr>
    </w:lvl>
    <w:lvl w:ilvl="1" w:tplc="A08CAF08">
      <w:start w:val="1"/>
      <w:numFmt w:val="lowerLetter"/>
      <w:lvlText w:val="%2."/>
      <w:lvlJc w:val="left"/>
      <w:pPr>
        <w:ind w:left="1800" w:hanging="360"/>
      </w:pPr>
    </w:lvl>
    <w:lvl w:ilvl="2" w:tplc="317E1A94">
      <w:start w:val="1"/>
      <w:numFmt w:val="lowerRoman"/>
      <w:lvlText w:val="%3."/>
      <w:lvlJc w:val="right"/>
      <w:pPr>
        <w:ind w:left="2520" w:hanging="180"/>
      </w:pPr>
      <w:rPr>
        <w:rFonts w:ascii="Times New Roman" w:eastAsia="Times New Roman" w:hAnsi="Times New Roman" w:cs="Times New Roman"/>
      </w:rPr>
    </w:lvl>
    <w:lvl w:ilvl="3" w:tplc="184A21E4" w:tentative="1">
      <w:start w:val="1"/>
      <w:numFmt w:val="decimal"/>
      <w:lvlText w:val="%4."/>
      <w:lvlJc w:val="left"/>
      <w:pPr>
        <w:ind w:left="3240" w:hanging="360"/>
      </w:pPr>
    </w:lvl>
    <w:lvl w:ilvl="4" w:tplc="A4EA4164" w:tentative="1">
      <w:start w:val="1"/>
      <w:numFmt w:val="lowerLetter"/>
      <w:lvlText w:val="%5."/>
      <w:lvlJc w:val="left"/>
      <w:pPr>
        <w:ind w:left="3960" w:hanging="360"/>
      </w:pPr>
    </w:lvl>
    <w:lvl w:ilvl="5" w:tplc="1F7C2790" w:tentative="1">
      <w:start w:val="1"/>
      <w:numFmt w:val="lowerRoman"/>
      <w:lvlText w:val="%6."/>
      <w:lvlJc w:val="right"/>
      <w:pPr>
        <w:ind w:left="4680" w:hanging="180"/>
      </w:pPr>
    </w:lvl>
    <w:lvl w:ilvl="6" w:tplc="26AC0B2E" w:tentative="1">
      <w:start w:val="1"/>
      <w:numFmt w:val="decimal"/>
      <w:lvlText w:val="%7."/>
      <w:lvlJc w:val="left"/>
      <w:pPr>
        <w:ind w:left="5400" w:hanging="360"/>
      </w:pPr>
    </w:lvl>
    <w:lvl w:ilvl="7" w:tplc="374AA1C6" w:tentative="1">
      <w:start w:val="1"/>
      <w:numFmt w:val="lowerLetter"/>
      <w:lvlText w:val="%8."/>
      <w:lvlJc w:val="left"/>
      <w:pPr>
        <w:ind w:left="6120" w:hanging="360"/>
      </w:pPr>
    </w:lvl>
    <w:lvl w:ilvl="8" w:tplc="9B742B7A" w:tentative="1">
      <w:start w:val="1"/>
      <w:numFmt w:val="lowerRoman"/>
      <w:lvlText w:val="%9."/>
      <w:lvlJc w:val="right"/>
      <w:pPr>
        <w:ind w:left="6840" w:hanging="180"/>
      </w:pPr>
    </w:lvl>
  </w:abstractNum>
  <w:abstractNum w:abstractNumId="10" w15:restartNumberingAfterBreak="0">
    <w:nsid w:val="6B184CDA"/>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11" w15:restartNumberingAfterBreak="0">
    <w:nsid w:val="6D7A22DB"/>
    <w:multiLevelType w:val="hybridMultilevel"/>
    <w:tmpl w:val="D0E0A11E"/>
    <w:lvl w:ilvl="0" w:tplc="C088B6F2">
      <w:start w:val="37"/>
      <w:numFmt w:val="decimal"/>
      <w:lvlText w:val="%1."/>
      <w:lvlJc w:val="left"/>
      <w:pPr>
        <w:ind w:left="993" w:hanging="360"/>
      </w:pPr>
      <w:rPr>
        <w:rFonts w:ascii="Times New Roman" w:eastAsia="Times New Roman" w:hAnsi="Times New Roman" w:cs="Times New Roman" w:hint="default"/>
        <w:b w:val="0"/>
        <w:bCs w:val="0"/>
        <w:i w:val="0"/>
        <w:iCs w:val="0"/>
        <w:w w:val="100"/>
        <w:sz w:val="24"/>
        <w:szCs w:val="24"/>
      </w:rPr>
    </w:lvl>
    <w:lvl w:ilvl="1" w:tplc="D4C04BA0">
      <w:numFmt w:val="bullet"/>
      <w:lvlText w:val="●"/>
      <w:lvlJc w:val="left"/>
      <w:pPr>
        <w:ind w:left="1291" w:hanging="360"/>
      </w:pPr>
      <w:rPr>
        <w:rFonts w:ascii="Times New Roman" w:eastAsia="Times New Roman" w:hAnsi="Times New Roman" w:cs="Times New Roman" w:hint="default"/>
        <w:b w:val="0"/>
        <w:bCs w:val="0"/>
        <w:i w:val="0"/>
        <w:iCs w:val="0"/>
        <w:w w:val="100"/>
        <w:sz w:val="24"/>
        <w:szCs w:val="24"/>
      </w:rPr>
    </w:lvl>
    <w:lvl w:ilvl="2" w:tplc="C71C2312">
      <w:numFmt w:val="bullet"/>
      <w:lvlText w:val="•"/>
      <w:lvlJc w:val="left"/>
      <w:pPr>
        <w:ind w:left="1660" w:hanging="360"/>
      </w:pPr>
      <w:rPr>
        <w:rFonts w:hint="default"/>
      </w:rPr>
    </w:lvl>
    <w:lvl w:ilvl="3" w:tplc="B2F03240">
      <w:numFmt w:val="bullet"/>
      <w:lvlText w:val="•"/>
      <w:lvlJc w:val="left"/>
      <w:pPr>
        <w:ind w:left="2655" w:hanging="360"/>
      </w:pPr>
      <w:rPr>
        <w:rFonts w:hint="default"/>
      </w:rPr>
    </w:lvl>
    <w:lvl w:ilvl="4" w:tplc="42C62148">
      <w:numFmt w:val="bullet"/>
      <w:lvlText w:val="•"/>
      <w:lvlJc w:val="left"/>
      <w:pPr>
        <w:ind w:left="3650" w:hanging="360"/>
      </w:pPr>
      <w:rPr>
        <w:rFonts w:hint="default"/>
      </w:rPr>
    </w:lvl>
    <w:lvl w:ilvl="5" w:tplc="30C0A400">
      <w:numFmt w:val="bullet"/>
      <w:lvlText w:val="•"/>
      <w:lvlJc w:val="left"/>
      <w:pPr>
        <w:ind w:left="4645" w:hanging="360"/>
      </w:pPr>
      <w:rPr>
        <w:rFonts w:hint="default"/>
      </w:rPr>
    </w:lvl>
    <w:lvl w:ilvl="6" w:tplc="388A6E1C">
      <w:numFmt w:val="bullet"/>
      <w:lvlText w:val="•"/>
      <w:lvlJc w:val="left"/>
      <w:pPr>
        <w:ind w:left="5640" w:hanging="360"/>
      </w:pPr>
      <w:rPr>
        <w:rFonts w:hint="default"/>
      </w:rPr>
    </w:lvl>
    <w:lvl w:ilvl="7" w:tplc="93AC9606">
      <w:numFmt w:val="bullet"/>
      <w:lvlText w:val="•"/>
      <w:lvlJc w:val="left"/>
      <w:pPr>
        <w:ind w:left="6635" w:hanging="360"/>
      </w:pPr>
      <w:rPr>
        <w:rFonts w:hint="default"/>
      </w:rPr>
    </w:lvl>
    <w:lvl w:ilvl="8" w:tplc="E1400FE0">
      <w:numFmt w:val="bullet"/>
      <w:lvlText w:val="•"/>
      <w:lvlJc w:val="left"/>
      <w:pPr>
        <w:ind w:left="7630" w:hanging="360"/>
      </w:pPr>
      <w:rPr>
        <w:rFonts w:hint="default"/>
      </w:rPr>
    </w:lvl>
  </w:abstractNum>
  <w:abstractNum w:abstractNumId="12" w15:restartNumberingAfterBreak="0">
    <w:nsid w:val="7B0955FC"/>
    <w:multiLevelType w:val="hybridMultilevel"/>
    <w:tmpl w:val="CC4E7326"/>
    <w:lvl w:ilvl="0" w:tplc="B06EED62">
      <w:start w:val="1"/>
      <w:numFmt w:val="decimal"/>
      <w:lvlText w:val="%1."/>
      <w:lvlJc w:val="left"/>
      <w:pPr>
        <w:ind w:left="1070" w:hanging="360"/>
      </w:pPr>
    </w:lvl>
    <w:lvl w:ilvl="1" w:tplc="6B1CA580">
      <w:start w:val="1"/>
      <w:numFmt w:val="bullet"/>
      <w:lvlText w:val=""/>
      <w:lvlJc w:val="left"/>
      <w:pPr>
        <w:ind w:left="1800" w:hanging="360"/>
      </w:pPr>
      <w:rPr>
        <w:rFonts w:ascii="Symbol" w:hAnsi="Symbol" w:hint="default"/>
      </w:rPr>
    </w:lvl>
    <w:lvl w:ilvl="2" w:tplc="A8A2F934">
      <w:start w:val="1"/>
      <w:numFmt w:val="bullet"/>
      <w:lvlText w:val=""/>
      <w:lvlJc w:val="left"/>
      <w:pPr>
        <w:ind w:left="2520" w:hanging="180"/>
      </w:pPr>
      <w:rPr>
        <w:rFonts w:ascii="Symbol" w:hAnsi="Symbol" w:hint="default"/>
      </w:rPr>
    </w:lvl>
    <w:lvl w:ilvl="3" w:tplc="FBD006F8" w:tentative="1">
      <w:start w:val="1"/>
      <w:numFmt w:val="decimal"/>
      <w:lvlText w:val="%4."/>
      <w:lvlJc w:val="left"/>
      <w:pPr>
        <w:ind w:left="3240" w:hanging="360"/>
      </w:pPr>
    </w:lvl>
    <w:lvl w:ilvl="4" w:tplc="C7F0CA26" w:tentative="1">
      <w:start w:val="1"/>
      <w:numFmt w:val="lowerLetter"/>
      <w:lvlText w:val="%5."/>
      <w:lvlJc w:val="left"/>
      <w:pPr>
        <w:ind w:left="3960" w:hanging="360"/>
      </w:pPr>
    </w:lvl>
    <w:lvl w:ilvl="5" w:tplc="92040A68" w:tentative="1">
      <w:start w:val="1"/>
      <w:numFmt w:val="lowerRoman"/>
      <w:lvlText w:val="%6."/>
      <w:lvlJc w:val="right"/>
      <w:pPr>
        <w:ind w:left="4680" w:hanging="180"/>
      </w:pPr>
    </w:lvl>
    <w:lvl w:ilvl="6" w:tplc="86FA9658" w:tentative="1">
      <w:start w:val="1"/>
      <w:numFmt w:val="decimal"/>
      <w:lvlText w:val="%7."/>
      <w:lvlJc w:val="left"/>
      <w:pPr>
        <w:ind w:left="5400" w:hanging="360"/>
      </w:pPr>
    </w:lvl>
    <w:lvl w:ilvl="7" w:tplc="27844016" w:tentative="1">
      <w:start w:val="1"/>
      <w:numFmt w:val="lowerLetter"/>
      <w:lvlText w:val="%8."/>
      <w:lvlJc w:val="left"/>
      <w:pPr>
        <w:ind w:left="6120" w:hanging="360"/>
      </w:pPr>
    </w:lvl>
    <w:lvl w:ilvl="8" w:tplc="018CCD56" w:tentative="1">
      <w:start w:val="1"/>
      <w:numFmt w:val="lowerRoman"/>
      <w:lvlText w:val="%9."/>
      <w:lvlJc w:val="right"/>
      <w:pPr>
        <w:ind w:left="6840" w:hanging="180"/>
      </w:pPr>
    </w:lvl>
  </w:abstractNum>
  <w:abstractNum w:abstractNumId="13" w15:restartNumberingAfterBreak="0">
    <w:nsid w:val="7D1149EE"/>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14" w15:restartNumberingAfterBreak="0">
    <w:nsid w:val="7FF40C48"/>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num w:numId="1" w16cid:durableId="1243905102">
    <w:abstractNumId w:val="11"/>
  </w:num>
  <w:num w:numId="2" w16cid:durableId="822048101">
    <w:abstractNumId w:val="0"/>
  </w:num>
  <w:num w:numId="3" w16cid:durableId="260257275">
    <w:abstractNumId w:val="14"/>
  </w:num>
  <w:num w:numId="4" w16cid:durableId="932515343">
    <w:abstractNumId w:val="8"/>
  </w:num>
  <w:num w:numId="5" w16cid:durableId="871303794">
    <w:abstractNumId w:val="5"/>
  </w:num>
  <w:num w:numId="6" w16cid:durableId="1243223303">
    <w:abstractNumId w:val="4"/>
  </w:num>
  <w:num w:numId="7" w16cid:durableId="1323775128">
    <w:abstractNumId w:val="9"/>
  </w:num>
  <w:num w:numId="8" w16cid:durableId="1321731140">
    <w:abstractNumId w:val="13"/>
  </w:num>
  <w:num w:numId="9" w16cid:durableId="535461695">
    <w:abstractNumId w:val="3"/>
  </w:num>
  <w:num w:numId="10" w16cid:durableId="1731732462">
    <w:abstractNumId w:val="1"/>
  </w:num>
  <w:num w:numId="11" w16cid:durableId="1137573907">
    <w:abstractNumId w:val="12"/>
  </w:num>
  <w:num w:numId="12" w16cid:durableId="1803377952">
    <w:abstractNumId w:val="7"/>
  </w:num>
  <w:num w:numId="13" w16cid:durableId="1672836058">
    <w:abstractNumId w:val="10"/>
  </w:num>
  <w:num w:numId="14" w16cid:durableId="1550143025">
    <w:abstractNumId w:val="9"/>
    <w:lvlOverride w:ilvl="0">
      <w:startOverride w:val="1"/>
    </w:lvlOverride>
  </w:num>
  <w:num w:numId="15" w16cid:durableId="1902250905">
    <w:abstractNumId w:val="9"/>
    <w:lvlOverride w:ilvl="0">
      <w:startOverride w:val="1"/>
    </w:lvlOverride>
  </w:num>
  <w:num w:numId="16" w16cid:durableId="1627469070">
    <w:abstractNumId w:val="9"/>
    <w:lvlOverride w:ilvl="0">
      <w:startOverride w:val="1"/>
    </w:lvlOverride>
  </w:num>
  <w:num w:numId="17" w16cid:durableId="624308238">
    <w:abstractNumId w:val="9"/>
    <w:lvlOverride w:ilvl="0">
      <w:startOverride w:val="1"/>
    </w:lvlOverride>
  </w:num>
  <w:num w:numId="18" w16cid:durableId="1782258872">
    <w:abstractNumId w:val="9"/>
  </w:num>
  <w:num w:numId="19" w16cid:durableId="2077971148">
    <w:abstractNumId w:val="9"/>
    <w:lvlOverride w:ilvl="0">
      <w:startOverride w:val="1"/>
    </w:lvlOverride>
  </w:num>
  <w:num w:numId="20" w16cid:durableId="842628335">
    <w:abstractNumId w:val="9"/>
    <w:lvlOverride w:ilvl="0">
      <w:startOverride w:val="1"/>
    </w:lvlOverride>
  </w:num>
  <w:num w:numId="21" w16cid:durableId="1333558219">
    <w:abstractNumId w:val="9"/>
    <w:lvlOverride w:ilvl="0">
      <w:startOverride w:val="1"/>
    </w:lvlOverride>
  </w:num>
  <w:num w:numId="22" w16cid:durableId="207031364">
    <w:abstractNumId w:val="9"/>
    <w:lvlOverride w:ilvl="0">
      <w:startOverride w:val="1"/>
    </w:lvlOverride>
  </w:num>
  <w:num w:numId="23" w16cid:durableId="460729827">
    <w:abstractNumId w:val="9"/>
    <w:lvlOverride w:ilvl="0">
      <w:startOverride w:val="1"/>
    </w:lvlOverride>
  </w:num>
  <w:num w:numId="24" w16cid:durableId="1118833511">
    <w:abstractNumId w:val="9"/>
    <w:lvlOverride w:ilvl="0">
      <w:startOverride w:val="1"/>
    </w:lvlOverride>
  </w:num>
  <w:num w:numId="25" w16cid:durableId="1615670319">
    <w:abstractNumId w:val="9"/>
    <w:lvlOverride w:ilvl="0">
      <w:startOverride w:val="1"/>
    </w:lvlOverride>
  </w:num>
  <w:num w:numId="26" w16cid:durableId="431751335">
    <w:abstractNumId w:val="9"/>
    <w:lvlOverride w:ilvl="0">
      <w:startOverride w:val="1"/>
    </w:lvlOverride>
  </w:num>
  <w:num w:numId="27" w16cid:durableId="391462325">
    <w:abstractNumId w:val="9"/>
    <w:lvlOverride w:ilvl="0">
      <w:startOverride w:val="1"/>
    </w:lvlOverride>
  </w:num>
  <w:num w:numId="28" w16cid:durableId="386270293">
    <w:abstractNumId w:val="9"/>
  </w:num>
  <w:num w:numId="29" w16cid:durableId="1076980740">
    <w:abstractNumId w:val="9"/>
    <w:lvlOverride w:ilvl="0">
      <w:startOverride w:val="1"/>
    </w:lvlOverride>
  </w:num>
  <w:num w:numId="30" w16cid:durableId="901907823">
    <w:abstractNumId w:val="2"/>
  </w:num>
  <w:num w:numId="31" w16cid:durableId="886723042">
    <w:abstractNumId w:val="9"/>
  </w:num>
  <w:num w:numId="32" w16cid:durableId="824247509">
    <w:abstractNumId w:val="9"/>
  </w:num>
  <w:num w:numId="33" w16cid:durableId="1946690032">
    <w:abstractNumId w:val="9"/>
  </w:num>
  <w:num w:numId="34" w16cid:durableId="1777482771">
    <w:abstractNumId w:val="9"/>
  </w:num>
  <w:num w:numId="35" w16cid:durableId="1056510417">
    <w:abstractNumId w:val="6"/>
  </w:num>
  <w:num w:numId="36" w16cid:durableId="1771663070">
    <w:abstractNumId w:val="9"/>
  </w:num>
  <w:num w:numId="37" w16cid:durableId="747045869">
    <w:abstractNumId w:val="9"/>
  </w:num>
  <w:num w:numId="38" w16cid:durableId="1850872567">
    <w:abstractNumId w:val="9"/>
  </w:num>
  <w:num w:numId="39" w16cid:durableId="98188825">
    <w:abstractNumId w:val="9"/>
  </w:num>
  <w:num w:numId="40" w16cid:durableId="941258423">
    <w:abstractNumId w:val="9"/>
  </w:num>
  <w:num w:numId="41" w16cid:durableId="1176068227">
    <w:abstractNumId w:val="9"/>
  </w:num>
  <w:num w:numId="42" w16cid:durableId="1866407910">
    <w:abstractNumId w:val="9"/>
  </w:num>
  <w:num w:numId="43" w16cid:durableId="1794667216">
    <w:abstractNumId w:val="9"/>
  </w:num>
  <w:num w:numId="44" w16cid:durableId="120542891">
    <w:abstractNumId w:val="9"/>
  </w:num>
  <w:num w:numId="45" w16cid:durableId="16540149">
    <w:abstractNumId w:val="9"/>
  </w:num>
  <w:num w:numId="46" w16cid:durableId="134953840">
    <w:abstractNumId w:val="9"/>
  </w:num>
  <w:num w:numId="47" w16cid:durableId="931352174">
    <w:abstractNumId w:val="9"/>
  </w:num>
  <w:num w:numId="48" w16cid:durableId="322323517">
    <w:abstractNumId w:val="9"/>
  </w:num>
  <w:num w:numId="49" w16cid:durableId="1676221895">
    <w:abstractNumId w:val="9"/>
  </w:num>
  <w:num w:numId="50" w16cid:durableId="316345941">
    <w:abstractNumId w:val="9"/>
  </w:num>
  <w:num w:numId="51" w16cid:durableId="1061640328">
    <w:abstractNumId w:val="9"/>
  </w:num>
  <w:num w:numId="52" w16cid:durableId="812065870">
    <w:abstractNumId w:val="9"/>
  </w:num>
  <w:num w:numId="53" w16cid:durableId="1897206256">
    <w:abstractNumId w:val="9"/>
  </w:num>
  <w:num w:numId="54" w16cid:durableId="1459378403">
    <w:abstractNumId w:val="9"/>
  </w:num>
  <w:num w:numId="55" w16cid:durableId="1581284944">
    <w:abstractNumId w:val="9"/>
  </w:num>
  <w:num w:numId="56" w16cid:durableId="1544100822">
    <w:abstractNumId w:val="9"/>
  </w:num>
  <w:num w:numId="57" w16cid:durableId="1560704760">
    <w:abstractNumId w:val="9"/>
  </w:num>
  <w:num w:numId="58" w16cid:durableId="363752273">
    <w:abstractNumId w:val="9"/>
  </w:num>
  <w:num w:numId="59" w16cid:durableId="644702962">
    <w:abstractNumId w:val="9"/>
  </w:num>
  <w:num w:numId="60" w16cid:durableId="1430807372">
    <w:abstractNumId w:val="9"/>
  </w:num>
  <w:num w:numId="61" w16cid:durableId="928460884">
    <w:abstractNumId w:val="9"/>
  </w:num>
  <w:num w:numId="62" w16cid:durableId="572476027">
    <w:abstractNumId w:val="9"/>
  </w:num>
  <w:num w:numId="63" w16cid:durableId="208615801">
    <w:abstractNumId w:val="9"/>
  </w:num>
  <w:num w:numId="64" w16cid:durableId="1743867075">
    <w:abstractNumId w:val="9"/>
  </w:num>
  <w:num w:numId="65" w16cid:durableId="275602397">
    <w:abstractNumId w:val="9"/>
  </w:num>
  <w:num w:numId="66" w16cid:durableId="1394817979">
    <w:abstractNumId w:val="9"/>
  </w:num>
  <w:num w:numId="67" w16cid:durableId="1919287937">
    <w:abstractNumId w:val="9"/>
  </w:num>
  <w:num w:numId="68" w16cid:durableId="1968512280">
    <w:abstractNumId w:val="9"/>
  </w:num>
  <w:num w:numId="69" w16cid:durableId="283922606">
    <w:abstractNumId w:val="9"/>
  </w:num>
  <w:num w:numId="70" w16cid:durableId="27462351">
    <w:abstractNumId w:val="9"/>
  </w:num>
  <w:num w:numId="71" w16cid:durableId="327708749">
    <w:abstractNumId w:val="9"/>
  </w:num>
  <w:num w:numId="72" w16cid:durableId="2116751147">
    <w:abstractNumId w:val="9"/>
  </w:num>
  <w:num w:numId="73" w16cid:durableId="1920872225">
    <w:abstractNumId w:val="9"/>
  </w:num>
  <w:num w:numId="74" w16cid:durableId="2043357895">
    <w:abstractNumId w:val="9"/>
  </w:num>
  <w:num w:numId="75" w16cid:durableId="1552419246">
    <w:abstractNumId w:val="9"/>
  </w:num>
  <w:num w:numId="76" w16cid:durableId="1900629848">
    <w:abstractNumId w:val="9"/>
  </w:num>
  <w:num w:numId="77" w16cid:durableId="1229535301">
    <w:abstractNumId w:val="9"/>
  </w:num>
  <w:num w:numId="78" w16cid:durableId="24186326">
    <w:abstractNumId w:val="9"/>
  </w:num>
  <w:num w:numId="79" w16cid:durableId="1616208465">
    <w:abstractNumId w:val="9"/>
  </w:num>
  <w:num w:numId="80" w16cid:durableId="1886402250">
    <w:abstractNumId w:val="9"/>
  </w:num>
  <w:num w:numId="81" w16cid:durableId="1143355356">
    <w:abstractNumId w:val="9"/>
  </w:num>
  <w:num w:numId="82" w16cid:durableId="554969847">
    <w:abstractNumId w:val="9"/>
  </w:num>
  <w:num w:numId="83" w16cid:durableId="539129319">
    <w:abstractNumId w:val="9"/>
  </w:num>
  <w:num w:numId="84" w16cid:durableId="96142319">
    <w:abstractNumId w:val="9"/>
  </w:num>
  <w:num w:numId="85" w16cid:durableId="61679350">
    <w:abstractNumId w:val="9"/>
  </w:num>
  <w:num w:numId="86" w16cid:durableId="645935504">
    <w:abstractNumId w:val="9"/>
  </w:num>
  <w:num w:numId="87" w16cid:durableId="1946301424">
    <w:abstractNumId w:val="9"/>
  </w:num>
  <w:num w:numId="88" w16cid:durableId="3242384">
    <w:abstractNumId w:val="9"/>
  </w:num>
  <w:num w:numId="89" w16cid:durableId="15809030">
    <w:abstractNumId w:val="9"/>
  </w:num>
  <w:num w:numId="90" w16cid:durableId="2059166134">
    <w:abstractNumId w:val="9"/>
  </w:num>
  <w:num w:numId="91" w16cid:durableId="1697995814">
    <w:abstractNumId w:val="9"/>
    <w:lvlOverride w:ilvl="0">
      <w:startOverride w:val="1"/>
    </w:lvlOverride>
  </w:num>
  <w:num w:numId="92" w16cid:durableId="17706292">
    <w:abstractNumId w:val="9"/>
    <w:lvlOverride w:ilvl="0">
      <w:startOverride w:val="1"/>
    </w:lvlOverride>
  </w:num>
  <w:num w:numId="93" w16cid:durableId="859198257">
    <w:abstractNumId w:val="9"/>
    <w:lvlOverride w:ilvl="0">
      <w:startOverride w:val="1"/>
    </w:lvlOverride>
  </w:num>
  <w:num w:numId="94" w16cid:durableId="1814329474">
    <w:abstractNumId w:val="9"/>
    <w:lvlOverride w:ilvl="0">
      <w:startOverride w:val="1"/>
    </w:lvlOverride>
  </w:num>
  <w:num w:numId="95" w16cid:durableId="821166192">
    <w:abstractNumId w:val="9"/>
    <w:lvlOverride w:ilvl="0">
      <w:startOverride w:val="1"/>
    </w:lvlOverride>
  </w:num>
  <w:num w:numId="96" w16cid:durableId="1244146156">
    <w:abstractNumId w:val="9"/>
    <w:lvlOverride w:ilvl="0">
      <w:startOverride w:val="1"/>
    </w:lvlOverride>
  </w:num>
  <w:num w:numId="97" w16cid:durableId="452987672">
    <w:abstractNumId w:val="9"/>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4D9"/>
    <w:rsid w:val="00000AF9"/>
    <w:rsid w:val="00000BC8"/>
    <w:rsid w:val="00002792"/>
    <w:rsid w:val="000027FD"/>
    <w:rsid w:val="00002D98"/>
    <w:rsid w:val="000031A5"/>
    <w:rsid w:val="00003531"/>
    <w:rsid w:val="00003AA1"/>
    <w:rsid w:val="00004E48"/>
    <w:rsid w:val="00004F96"/>
    <w:rsid w:val="00005503"/>
    <w:rsid w:val="00005869"/>
    <w:rsid w:val="0000759B"/>
    <w:rsid w:val="0001047A"/>
    <w:rsid w:val="0001193E"/>
    <w:rsid w:val="0001255F"/>
    <w:rsid w:val="00012680"/>
    <w:rsid w:val="000129D4"/>
    <w:rsid w:val="00012FBF"/>
    <w:rsid w:val="000130B0"/>
    <w:rsid w:val="00013CE1"/>
    <w:rsid w:val="00015E19"/>
    <w:rsid w:val="00016A51"/>
    <w:rsid w:val="00016A90"/>
    <w:rsid w:val="00016F5A"/>
    <w:rsid w:val="000175E1"/>
    <w:rsid w:val="00017D0F"/>
    <w:rsid w:val="0002024E"/>
    <w:rsid w:val="00020D6F"/>
    <w:rsid w:val="00021DB4"/>
    <w:rsid w:val="00022619"/>
    <w:rsid w:val="00022C23"/>
    <w:rsid w:val="0002370B"/>
    <w:rsid w:val="00023752"/>
    <w:rsid w:val="00023CF2"/>
    <w:rsid w:val="00023EC9"/>
    <w:rsid w:val="000253D5"/>
    <w:rsid w:val="000254C7"/>
    <w:rsid w:val="0002561A"/>
    <w:rsid w:val="00027DFB"/>
    <w:rsid w:val="00030902"/>
    <w:rsid w:val="00030A61"/>
    <w:rsid w:val="000312CE"/>
    <w:rsid w:val="00031400"/>
    <w:rsid w:val="00031D91"/>
    <w:rsid w:val="00032CDF"/>
    <w:rsid w:val="000330C4"/>
    <w:rsid w:val="0003326A"/>
    <w:rsid w:val="00034A5C"/>
    <w:rsid w:val="000350CD"/>
    <w:rsid w:val="00035D9C"/>
    <w:rsid w:val="00035F0F"/>
    <w:rsid w:val="0003714F"/>
    <w:rsid w:val="00037620"/>
    <w:rsid w:val="00040137"/>
    <w:rsid w:val="00040F3D"/>
    <w:rsid w:val="0004128F"/>
    <w:rsid w:val="000419A2"/>
    <w:rsid w:val="00041AA1"/>
    <w:rsid w:val="00041BF6"/>
    <w:rsid w:val="00042213"/>
    <w:rsid w:val="00043AE2"/>
    <w:rsid w:val="00043CAF"/>
    <w:rsid w:val="000441E1"/>
    <w:rsid w:val="000446EC"/>
    <w:rsid w:val="00045BD0"/>
    <w:rsid w:val="00045CF5"/>
    <w:rsid w:val="0004746C"/>
    <w:rsid w:val="00047E4F"/>
    <w:rsid w:val="000500D1"/>
    <w:rsid w:val="000502F6"/>
    <w:rsid w:val="00051A30"/>
    <w:rsid w:val="0005235F"/>
    <w:rsid w:val="00052AC8"/>
    <w:rsid w:val="000536DB"/>
    <w:rsid w:val="00053BCA"/>
    <w:rsid w:val="00053CD4"/>
    <w:rsid w:val="00054216"/>
    <w:rsid w:val="0005513C"/>
    <w:rsid w:val="00055D07"/>
    <w:rsid w:val="00055EC4"/>
    <w:rsid w:val="000569EB"/>
    <w:rsid w:val="00056BCD"/>
    <w:rsid w:val="0005771E"/>
    <w:rsid w:val="00057E00"/>
    <w:rsid w:val="00061579"/>
    <w:rsid w:val="0006234F"/>
    <w:rsid w:val="00064DF5"/>
    <w:rsid w:val="00065067"/>
    <w:rsid w:val="0006515A"/>
    <w:rsid w:val="0006536B"/>
    <w:rsid w:val="00065ECF"/>
    <w:rsid w:val="00066162"/>
    <w:rsid w:val="00066B25"/>
    <w:rsid w:val="00067117"/>
    <w:rsid w:val="000675BC"/>
    <w:rsid w:val="000677D6"/>
    <w:rsid w:val="00070CCE"/>
    <w:rsid w:val="00070E03"/>
    <w:rsid w:val="00071172"/>
    <w:rsid w:val="0007157B"/>
    <w:rsid w:val="00071C1B"/>
    <w:rsid w:val="00071FB1"/>
    <w:rsid w:val="00072035"/>
    <w:rsid w:val="0007225B"/>
    <w:rsid w:val="00072D9A"/>
    <w:rsid w:val="000732F4"/>
    <w:rsid w:val="00074A92"/>
    <w:rsid w:val="00074DEB"/>
    <w:rsid w:val="00075184"/>
    <w:rsid w:val="00075457"/>
    <w:rsid w:val="00075908"/>
    <w:rsid w:val="00076CF5"/>
    <w:rsid w:val="00077545"/>
    <w:rsid w:val="0008089F"/>
    <w:rsid w:val="00080BD6"/>
    <w:rsid w:val="00080D77"/>
    <w:rsid w:val="0008125C"/>
    <w:rsid w:val="00081E8D"/>
    <w:rsid w:val="00082179"/>
    <w:rsid w:val="00082E2E"/>
    <w:rsid w:val="00083188"/>
    <w:rsid w:val="00083576"/>
    <w:rsid w:val="00083E90"/>
    <w:rsid w:val="000852D8"/>
    <w:rsid w:val="000853DF"/>
    <w:rsid w:val="00085DF9"/>
    <w:rsid w:val="00086A2B"/>
    <w:rsid w:val="00087A86"/>
    <w:rsid w:val="0009021D"/>
    <w:rsid w:val="00090AC7"/>
    <w:rsid w:val="00091AA9"/>
    <w:rsid w:val="00091AC0"/>
    <w:rsid w:val="00091BF1"/>
    <w:rsid w:val="000929F3"/>
    <w:rsid w:val="00092FDD"/>
    <w:rsid w:val="00094A50"/>
    <w:rsid w:val="00094D39"/>
    <w:rsid w:val="00095030"/>
    <w:rsid w:val="00096201"/>
    <w:rsid w:val="00096CD8"/>
    <w:rsid w:val="000970A3"/>
    <w:rsid w:val="00097150"/>
    <w:rsid w:val="000972F7"/>
    <w:rsid w:val="000973E4"/>
    <w:rsid w:val="0009744F"/>
    <w:rsid w:val="00097C6B"/>
    <w:rsid w:val="00097FBF"/>
    <w:rsid w:val="000A0A43"/>
    <w:rsid w:val="000A0EE6"/>
    <w:rsid w:val="000A0F6E"/>
    <w:rsid w:val="000A1C53"/>
    <w:rsid w:val="000A1D87"/>
    <w:rsid w:val="000A270A"/>
    <w:rsid w:val="000A35F6"/>
    <w:rsid w:val="000A4A53"/>
    <w:rsid w:val="000A4C12"/>
    <w:rsid w:val="000A5033"/>
    <w:rsid w:val="000A595F"/>
    <w:rsid w:val="000A5991"/>
    <w:rsid w:val="000A64E7"/>
    <w:rsid w:val="000A6C7E"/>
    <w:rsid w:val="000A6D1E"/>
    <w:rsid w:val="000A7432"/>
    <w:rsid w:val="000B1835"/>
    <w:rsid w:val="000B1F10"/>
    <w:rsid w:val="000B1FD7"/>
    <w:rsid w:val="000B2986"/>
    <w:rsid w:val="000B2B64"/>
    <w:rsid w:val="000B341C"/>
    <w:rsid w:val="000B4D04"/>
    <w:rsid w:val="000B54C1"/>
    <w:rsid w:val="000B56E6"/>
    <w:rsid w:val="000B5C53"/>
    <w:rsid w:val="000B6DD5"/>
    <w:rsid w:val="000B7918"/>
    <w:rsid w:val="000B7B4B"/>
    <w:rsid w:val="000B7BC0"/>
    <w:rsid w:val="000B7E56"/>
    <w:rsid w:val="000C0030"/>
    <w:rsid w:val="000C04C0"/>
    <w:rsid w:val="000C1674"/>
    <w:rsid w:val="000C1B0C"/>
    <w:rsid w:val="000C1F3B"/>
    <w:rsid w:val="000C262D"/>
    <w:rsid w:val="000C2CE3"/>
    <w:rsid w:val="000C3EF4"/>
    <w:rsid w:val="000C42CB"/>
    <w:rsid w:val="000C42F3"/>
    <w:rsid w:val="000C5126"/>
    <w:rsid w:val="000C5EB4"/>
    <w:rsid w:val="000C5EC7"/>
    <w:rsid w:val="000C633F"/>
    <w:rsid w:val="000C6552"/>
    <w:rsid w:val="000D1004"/>
    <w:rsid w:val="000D1092"/>
    <w:rsid w:val="000D14AB"/>
    <w:rsid w:val="000D1638"/>
    <w:rsid w:val="000D1943"/>
    <w:rsid w:val="000D1DF7"/>
    <w:rsid w:val="000D4771"/>
    <w:rsid w:val="000D528A"/>
    <w:rsid w:val="000D55CE"/>
    <w:rsid w:val="000D62AC"/>
    <w:rsid w:val="000D640A"/>
    <w:rsid w:val="000D6721"/>
    <w:rsid w:val="000D6FA6"/>
    <w:rsid w:val="000D7A23"/>
    <w:rsid w:val="000D7E6B"/>
    <w:rsid w:val="000E0118"/>
    <w:rsid w:val="000E028A"/>
    <w:rsid w:val="000E03F4"/>
    <w:rsid w:val="000E0C02"/>
    <w:rsid w:val="000E0C2A"/>
    <w:rsid w:val="000E223A"/>
    <w:rsid w:val="000E2370"/>
    <w:rsid w:val="000E2499"/>
    <w:rsid w:val="000E25FD"/>
    <w:rsid w:val="000E3649"/>
    <w:rsid w:val="000E452B"/>
    <w:rsid w:val="000E466A"/>
    <w:rsid w:val="000E4878"/>
    <w:rsid w:val="000E4F13"/>
    <w:rsid w:val="000E5415"/>
    <w:rsid w:val="000E55FA"/>
    <w:rsid w:val="000E5785"/>
    <w:rsid w:val="000E62F7"/>
    <w:rsid w:val="000E7326"/>
    <w:rsid w:val="000E7C2B"/>
    <w:rsid w:val="000F0B72"/>
    <w:rsid w:val="000F11F2"/>
    <w:rsid w:val="000F201C"/>
    <w:rsid w:val="000F31C0"/>
    <w:rsid w:val="000F4D5A"/>
    <w:rsid w:val="000F4FE7"/>
    <w:rsid w:val="000F59FE"/>
    <w:rsid w:val="000F698D"/>
    <w:rsid w:val="000F7999"/>
    <w:rsid w:val="000F7A36"/>
    <w:rsid w:val="00100B15"/>
    <w:rsid w:val="001011A2"/>
    <w:rsid w:val="00103413"/>
    <w:rsid w:val="001039E6"/>
    <w:rsid w:val="00104367"/>
    <w:rsid w:val="00104E9D"/>
    <w:rsid w:val="00105BDA"/>
    <w:rsid w:val="00105CE0"/>
    <w:rsid w:val="00105F30"/>
    <w:rsid w:val="00106926"/>
    <w:rsid w:val="0010736C"/>
    <w:rsid w:val="001111B6"/>
    <w:rsid w:val="00111773"/>
    <w:rsid w:val="00111B0E"/>
    <w:rsid w:val="0011290E"/>
    <w:rsid w:val="00112FCD"/>
    <w:rsid w:val="00113BC0"/>
    <w:rsid w:val="00114C36"/>
    <w:rsid w:val="00114CF4"/>
    <w:rsid w:val="00114DF1"/>
    <w:rsid w:val="0011583D"/>
    <w:rsid w:val="00116179"/>
    <w:rsid w:val="00117C56"/>
    <w:rsid w:val="001211E0"/>
    <w:rsid w:val="0012130B"/>
    <w:rsid w:val="00121BF5"/>
    <w:rsid w:val="0012206A"/>
    <w:rsid w:val="001221D3"/>
    <w:rsid w:val="0012255F"/>
    <w:rsid w:val="00122603"/>
    <w:rsid w:val="00123089"/>
    <w:rsid w:val="00123575"/>
    <w:rsid w:val="00123A93"/>
    <w:rsid w:val="0012417C"/>
    <w:rsid w:val="00125B5A"/>
    <w:rsid w:val="00125C27"/>
    <w:rsid w:val="001261AF"/>
    <w:rsid w:val="0012772F"/>
    <w:rsid w:val="00130707"/>
    <w:rsid w:val="00131D19"/>
    <w:rsid w:val="00131D45"/>
    <w:rsid w:val="001345CC"/>
    <w:rsid w:val="00134D9B"/>
    <w:rsid w:val="00135038"/>
    <w:rsid w:val="001354EF"/>
    <w:rsid w:val="00135658"/>
    <w:rsid w:val="001363C7"/>
    <w:rsid w:val="00136931"/>
    <w:rsid w:val="001370C5"/>
    <w:rsid w:val="00137FCA"/>
    <w:rsid w:val="00140B61"/>
    <w:rsid w:val="001413D2"/>
    <w:rsid w:val="00141583"/>
    <w:rsid w:val="001449AA"/>
    <w:rsid w:val="00144A6D"/>
    <w:rsid w:val="00144AF2"/>
    <w:rsid w:val="00145104"/>
    <w:rsid w:val="00145A50"/>
    <w:rsid w:val="00145F51"/>
    <w:rsid w:val="00146A79"/>
    <w:rsid w:val="00146C6A"/>
    <w:rsid w:val="00147034"/>
    <w:rsid w:val="00150567"/>
    <w:rsid w:val="00150CD7"/>
    <w:rsid w:val="001510E5"/>
    <w:rsid w:val="001518B7"/>
    <w:rsid w:val="00152AC0"/>
    <w:rsid w:val="001542A4"/>
    <w:rsid w:val="001557B7"/>
    <w:rsid w:val="00155D3A"/>
    <w:rsid w:val="001563D2"/>
    <w:rsid w:val="00156EBD"/>
    <w:rsid w:val="001573D3"/>
    <w:rsid w:val="001610D2"/>
    <w:rsid w:val="0016186E"/>
    <w:rsid w:val="001623AB"/>
    <w:rsid w:val="001627DC"/>
    <w:rsid w:val="001628B2"/>
    <w:rsid w:val="00164590"/>
    <w:rsid w:val="00164750"/>
    <w:rsid w:val="00164A8C"/>
    <w:rsid w:val="00165434"/>
    <w:rsid w:val="00165DBF"/>
    <w:rsid w:val="00165F8F"/>
    <w:rsid w:val="00166213"/>
    <w:rsid w:val="001671B2"/>
    <w:rsid w:val="001672B5"/>
    <w:rsid w:val="00167364"/>
    <w:rsid w:val="00170033"/>
    <w:rsid w:val="001704FB"/>
    <w:rsid w:val="00171A5B"/>
    <w:rsid w:val="00171AF7"/>
    <w:rsid w:val="00171E17"/>
    <w:rsid w:val="00172891"/>
    <w:rsid w:val="001737C1"/>
    <w:rsid w:val="00173941"/>
    <w:rsid w:val="001747FF"/>
    <w:rsid w:val="0017497D"/>
    <w:rsid w:val="00174C44"/>
    <w:rsid w:val="00176B28"/>
    <w:rsid w:val="00176CE0"/>
    <w:rsid w:val="00177A9C"/>
    <w:rsid w:val="00177DA0"/>
    <w:rsid w:val="0018073E"/>
    <w:rsid w:val="001808A1"/>
    <w:rsid w:val="00180A7A"/>
    <w:rsid w:val="00181851"/>
    <w:rsid w:val="00182593"/>
    <w:rsid w:val="0018286E"/>
    <w:rsid w:val="001833E8"/>
    <w:rsid w:val="00183981"/>
    <w:rsid w:val="00183C95"/>
    <w:rsid w:val="00183CD1"/>
    <w:rsid w:val="001849AC"/>
    <w:rsid w:val="00184FE2"/>
    <w:rsid w:val="00185E7E"/>
    <w:rsid w:val="00186C6E"/>
    <w:rsid w:val="00187565"/>
    <w:rsid w:val="00187F89"/>
    <w:rsid w:val="00191237"/>
    <w:rsid w:val="0019192A"/>
    <w:rsid w:val="00192991"/>
    <w:rsid w:val="00193117"/>
    <w:rsid w:val="00193684"/>
    <w:rsid w:val="00193AC3"/>
    <w:rsid w:val="00193B20"/>
    <w:rsid w:val="0019486C"/>
    <w:rsid w:val="0019501E"/>
    <w:rsid w:val="00195090"/>
    <w:rsid w:val="00195696"/>
    <w:rsid w:val="00197B6C"/>
    <w:rsid w:val="001A0324"/>
    <w:rsid w:val="001A0390"/>
    <w:rsid w:val="001A0A8C"/>
    <w:rsid w:val="001A11C2"/>
    <w:rsid w:val="001A13BF"/>
    <w:rsid w:val="001A1B6E"/>
    <w:rsid w:val="001A1C0C"/>
    <w:rsid w:val="001A1E80"/>
    <w:rsid w:val="001A1EBF"/>
    <w:rsid w:val="001A2357"/>
    <w:rsid w:val="001A259F"/>
    <w:rsid w:val="001A3979"/>
    <w:rsid w:val="001A41A6"/>
    <w:rsid w:val="001A42CC"/>
    <w:rsid w:val="001A434E"/>
    <w:rsid w:val="001A4490"/>
    <w:rsid w:val="001A46DB"/>
    <w:rsid w:val="001A4D38"/>
    <w:rsid w:val="001A4F3B"/>
    <w:rsid w:val="001A56C8"/>
    <w:rsid w:val="001A5D5A"/>
    <w:rsid w:val="001A643D"/>
    <w:rsid w:val="001A69B6"/>
    <w:rsid w:val="001A6CF0"/>
    <w:rsid w:val="001A6D71"/>
    <w:rsid w:val="001B055E"/>
    <w:rsid w:val="001B1272"/>
    <w:rsid w:val="001B1C93"/>
    <w:rsid w:val="001B1F50"/>
    <w:rsid w:val="001B1FCF"/>
    <w:rsid w:val="001B262B"/>
    <w:rsid w:val="001B2CCA"/>
    <w:rsid w:val="001B3472"/>
    <w:rsid w:val="001B49BD"/>
    <w:rsid w:val="001B4F88"/>
    <w:rsid w:val="001B5D26"/>
    <w:rsid w:val="001B6A0B"/>
    <w:rsid w:val="001B6A54"/>
    <w:rsid w:val="001B6F74"/>
    <w:rsid w:val="001B79EC"/>
    <w:rsid w:val="001C01B9"/>
    <w:rsid w:val="001C0240"/>
    <w:rsid w:val="001C035F"/>
    <w:rsid w:val="001C07FF"/>
    <w:rsid w:val="001C0814"/>
    <w:rsid w:val="001C0A77"/>
    <w:rsid w:val="001C1773"/>
    <w:rsid w:val="001C1C62"/>
    <w:rsid w:val="001C2068"/>
    <w:rsid w:val="001C2607"/>
    <w:rsid w:val="001C290D"/>
    <w:rsid w:val="001C30D2"/>
    <w:rsid w:val="001C34BE"/>
    <w:rsid w:val="001C3AAD"/>
    <w:rsid w:val="001C4124"/>
    <w:rsid w:val="001C41BF"/>
    <w:rsid w:val="001C42DD"/>
    <w:rsid w:val="001C471E"/>
    <w:rsid w:val="001C4BAB"/>
    <w:rsid w:val="001C4C16"/>
    <w:rsid w:val="001C58E9"/>
    <w:rsid w:val="001C5999"/>
    <w:rsid w:val="001C5D34"/>
    <w:rsid w:val="001C64DC"/>
    <w:rsid w:val="001C74C9"/>
    <w:rsid w:val="001D0AEA"/>
    <w:rsid w:val="001D10C7"/>
    <w:rsid w:val="001D2048"/>
    <w:rsid w:val="001D386B"/>
    <w:rsid w:val="001D3F0B"/>
    <w:rsid w:val="001D4068"/>
    <w:rsid w:val="001D4200"/>
    <w:rsid w:val="001D4B9B"/>
    <w:rsid w:val="001D5539"/>
    <w:rsid w:val="001D5579"/>
    <w:rsid w:val="001D58D5"/>
    <w:rsid w:val="001D5BEF"/>
    <w:rsid w:val="001D5F2A"/>
    <w:rsid w:val="001D690A"/>
    <w:rsid w:val="001D752D"/>
    <w:rsid w:val="001D7BB0"/>
    <w:rsid w:val="001E02B4"/>
    <w:rsid w:val="001E05DB"/>
    <w:rsid w:val="001E07A8"/>
    <w:rsid w:val="001E0AFA"/>
    <w:rsid w:val="001E0C11"/>
    <w:rsid w:val="001E0D95"/>
    <w:rsid w:val="001E15FF"/>
    <w:rsid w:val="001E1980"/>
    <w:rsid w:val="001E24E2"/>
    <w:rsid w:val="001E2D37"/>
    <w:rsid w:val="001E2D95"/>
    <w:rsid w:val="001E2F54"/>
    <w:rsid w:val="001E3B7F"/>
    <w:rsid w:val="001E3C3D"/>
    <w:rsid w:val="001E4414"/>
    <w:rsid w:val="001E55F1"/>
    <w:rsid w:val="001E577B"/>
    <w:rsid w:val="001E6113"/>
    <w:rsid w:val="001E6624"/>
    <w:rsid w:val="001E6A2B"/>
    <w:rsid w:val="001E71D1"/>
    <w:rsid w:val="001E78F9"/>
    <w:rsid w:val="001F01FA"/>
    <w:rsid w:val="001F02C5"/>
    <w:rsid w:val="001F101B"/>
    <w:rsid w:val="001F1E36"/>
    <w:rsid w:val="001F2224"/>
    <w:rsid w:val="001F240C"/>
    <w:rsid w:val="001F2C45"/>
    <w:rsid w:val="001F38D1"/>
    <w:rsid w:val="001F397D"/>
    <w:rsid w:val="001F3FF5"/>
    <w:rsid w:val="001F406F"/>
    <w:rsid w:val="001F4071"/>
    <w:rsid w:val="001F459E"/>
    <w:rsid w:val="001F48F1"/>
    <w:rsid w:val="001F542A"/>
    <w:rsid w:val="001F583D"/>
    <w:rsid w:val="001F5A6F"/>
    <w:rsid w:val="001F7599"/>
    <w:rsid w:val="001F7741"/>
    <w:rsid w:val="00201258"/>
    <w:rsid w:val="0020129E"/>
    <w:rsid w:val="00201676"/>
    <w:rsid w:val="0020193F"/>
    <w:rsid w:val="00201D1F"/>
    <w:rsid w:val="002023AF"/>
    <w:rsid w:val="002029EB"/>
    <w:rsid w:val="00203D7A"/>
    <w:rsid w:val="002047AC"/>
    <w:rsid w:val="0020485F"/>
    <w:rsid w:val="00204A8D"/>
    <w:rsid w:val="002057A5"/>
    <w:rsid w:val="00207B61"/>
    <w:rsid w:val="00207E4B"/>
    <w:rsid w:val="00207F3D"/>
    <w:rsid w:val="00210F81"/>
    <w:rsid w:val="00211B10"/>
    <w:rsid w:val="00212206"/>
    <w:rsid w:val="00213322"/>
    <w:rsid w:val="00213865"/>
    <w:rsid w:val="002138BF"/>
    <w:rsid w:val="00213BE6"/>
    <w:rsid w:val="00214C5E"/>
    <w:rsid w:val="00214ECE"/>
    <w:rsid w:val="002155B2"/>
    <w:rsid w:val="002157D6"/>
    <w:rsid w:val="002157F3"/>
    <w:rsid w:val="00215EFA"/>
    <w:rsid w:val="0021659C"/>
    <w:rsid w:val="002166E1"/>
    <w:rsid w:val="00216F5E"/>
    <w:rsid w:val="0021725A"/>
    <w:rsid w:val="002172D8"/>
    <w:rsid w:val="00217BF1"/>
    <w:rsid w:val="00221E3B"/>
    <w:rsid w:val="0022253B"/>
    <w:rsid w:val="002230C0"/>
    <w:rsid w:val="002233ED"/>
    <w:rsid w:val="002236C8"/>
    <w:rsid w:val="00224D8B"/>
    <w:rsid w:val="00225C23"/>
    <w:rsid w:val="00227FFB"/>
    <w:rsid w:val="002300B5"/>
    <w:rsid w:val="0023016E"/>
    <w:rsid w:val="00230392"/>
    <w:rsid w:val="0023055A"/>
    <w:rsid w:val="00230817"/>
    <w:rsid w:val="00231654"/>
    <w:rsid w:val="002335B9"/>
    <w:rsid w:val="00233751"/>
    <w:rsid w:val="00233888"/>
    <w:rsid w:val="00234091"/>
    <w:rsid w:val="00234668"/>
    <w:rsid w:val="00234983"/>
    <w:rsid w:val="002349A1"/>
    <w:rsid w:val="002352B4"/>
    <w:rsid w:val="00236210"/>
    <w:rsid w:val="00236C74"/>
    <w:rsid w:val="0023788F"/>
    <w:rsid w:val="002406E8"/>
    <w:rsid w:val="00240C1F"/>
    <w:rsid w:val="0024104B"/>
    <w:rsid w:val="0024252A"/>
    <w:rsid w:val="002425C5"/>
    <w:rsid w:val="00242A86"/>
    <w:rsid w:val="00242EFD"/>
    <w:rsid w:val="00243B20"/>
    <w:rsid w:val="0024464E"/>
    <w:rsid w:val="00244A60"/>
    <w:rsid w:val="00244C9A"/>
    <w:rsid w:val="00244FD6"/>
    <w:rsid w:val="002451FB"/>
    <w:rsid w:val="00245708"/>
    <w:rsid w:val="002464F3"/>
    <w:rsid w:val="00246806"/>
    <w:rsid w:val="002468BD"/>
    <w:rsid w:val="00252197"/>
    <w:rsid w:val="00252B0C"/>
    <w:rsid w:val="00252CA2"/>
    <w:rsid w:val="0025316C"/>
    <w:rsid w:val="002531F7"/>
    <w:rsid w:val="00253668"/>
    <w:rsid w:val="0025654E"/>
    <w:rsid w:val="00256BB7"/>
    <w:rsid w:val="00257398"/>
    <w:rsid w:val="00257848"/>
    <w:rsid w:val="00257A05"/>
    <w:rsid w:val="002605DB"/>
    <w:rsid w:val="0026075C"/>
    <w:rsid w:val="00260D9F"/>
    <w:rsid w:val="00261044"/>
    <w:rsid w:val="0026108C"/>
    <w:rsid w:val="00261E0E"/>
    <w:rsid w:val="00261FD3"/>
    <w:rsid w:val="00262413"/>
    <w:rsid w:val="002626DB"/>
    <w:rsid w:val="00262E88"/>
    <w:rsid w:val="002632CE"/>
    <w:rsid w:val="00263C17"/>
    <w:rsid w:val="00263DAD"/>
    <w:rsid w:val="00263E2A"/>
    <w:rsid w:val="00263E6A"/>
    <w:rsid w:val="002644C9"/>
    <w:rsid w:val="0026477B"/>
    <w:rsid w:val="00264D01"/>
    <w:rsid w:val="00264E6D"/>
    <w:rsid w:val="002653B1"/>
    <w:rsid w:val="00265749"/>
    <w:rsid w:val="00265953"/>
    <w:rsid w:val="00266103"/>
    <w:rsid w:val="00266445"/>
    <w:rsid w:val="002678A0"/>
    <w:rsid w:val="00267EB8"/>
    <w:rsid w:val="00270513"/>
    <w:rsid w:val="00271279"/>
    <w:rsid w:val="00271845"/>
    <w:rsid w:val="00272533"/>
    <w:rsid w:val="002732BC"/>
    <w:rsid w:val="002739EB"/>
    <w:rsid w:val="00273B44"/>
    <w:rsid w:val="00273E0C"/>
    <w:rsid w:val="00274774"/>
    <w:rsid w:val="002764D8"/>
    <w:rsid w:val="002766F4"/>
    <w:rsid w:val="0027764D"/>
    <w:rsid w:val="00277848"/>
    <w:rsid w:val="002804F9"/>
    <w:rsid w:val="002815EF"/>
    <w:rsid w:val="002820B8"/>
    <w:rsid w:val="00282A05"/>
    <w:rsid w:val="0028353F"/>
    <w:rsid w:val="00283DFC"/>
    <w:rsid w:val="00284423"/>
    <w:rsid w:val="00284D7C"/>
    <w:rsid w:val="0028577D"/>
    <w:rsid w:val="00286266"/>
    <w:rsid w:val="0028675B"/>
    <w:rsid w:val="00286770"/>
    <w:rsid w:val="00287058"/>
    <w:rsid w:val="00287A49"/>
    <w:rsid w:val="00287F3D"/>
    <w:rsid w:val="00290B13"/>
    <w:rsid w:val="00290B18"/>
    <w:rsid w:val="002912EE"/>
    <w:rsid w:val="00293220"/>
    <w:rsid w:val="00293959"/>
    <w:rsid w:val="00293BA5"/>
    <w:rsid w:val="00294358"/>
    <w:rsid w:val="0029441B"/>
    <w:rsid w:val="0029451A"/>
    <w:rsid w:val="0029593C"/>
    <w:rsid w:val="0029639D"/>
    <w:rsid w:val="002968E4"/>
    <w:rsid w:val="002969D5"/>
    <w:rsid w:val="00296C2D"/>
    <w:rsid w:val="00296D0F"/>
    <w:rsid w:val="00297685"/>
    <w:rsid w:val="002979DE"/>
    <w:rsid w:val="00297D3E"/>
    <w:rsid w:val="002A1520"/>
    <w:rsid w:val="002A15D9"/>
    <w:rsid w:val="002A1DDE"/>
    <w:rsid w:val="002A2864"/>
    <w:rsid w:val="002A28DA"/>
    <w:rsid w:val="002A2CC9"/>
    <w:rsid w:val="002A333F"/>
    <w:rsid w:val="002A3BC7"/>
    <w:rsid w:val="002A4503"/>
    <w:rsid w:val="002A4548"/>
    <w:rsid w:val="002A45A5"/>
    <w:rsid w:val="002A4884"/>
    <w:rsid w:val="002A54F8"/>
    <w:rsid w:val="002A5C0C"/>
    <w:rsid w:val="002A5CB5"/>
    <w:rsid w:val="002A6048"/>
    <w:rsid w:val="002A798E"/>
    <w:rsid w:val="002A7CFE"/>
    <w:rsid w:val="002B07B5"/>
    <w:rsid w:val="002B113E"/>
    <w:rsid w:val="002B1BD2"/>
    <w:rsid w:val="002B2742"/>
    <w:rsid w:val="002B3494"/>
    <w:rsid w:val="002B36CF"/>
    <w:rsid w:val="002B4329"/>
    <w:rsid w:val="002B4861"/>
    <w:rsid w:val="002B4F54"/>
    <w:rsid w:val="002B5D80"/>
    <w:rsid w:val="002B6238"/>
    <w:rsid w:val="002B76C6"/>
    <w:rsid w:val="002B7CA2"/>
    <w:rsid w:val="002C04B8"/>
    <w:rsid w:val="002C10D3"/>
    <w:rsid w:val="002C1860"/>
    <w:rsid w:val="002C21DE"/>
    <w:rsid w:val="002C2F3B"/>
    <w:rsid w:val="002C31CA"/>
    <w:rsid w:val="002C3575"/>
    <w:rsid w:val="002C3A36"/>
    <w:rsid w:val="002C56DE"/>
    <w:rsid w:val="002C7DC4"/>
    <w:rsid w:val="002D0344"/>
    <w:rsid w:val="002D040C"/>
    <w:rsid w:val="002D1FB4"/>
    <w:rsid w:val="002D202D"/>
    <w:rsid w:val="002D31CE"/>
    <w:rsid w:val="002D33FF"/>
    <w:rsid w:val="002D4CE7"/>
    <w:rsid w:val="002D52EC"/>
    <w:rsid w:val="002D5510"/>
    <w:rsid w:val="002D5B6C"/>
    <w:rsid w:val="002D6848"/>
    <w:rsid w:val="002D6E36"/>
    <w:rsid w:val="002D75E3"/>
    <w:rsid w:val="002E087C"/>
    <w:rsid w:val="002E17DA"/>
    <w:rsid w:val="002E1C79"/>
    <w:rsid w:val="002E2C9D"/>
    <w:rsid w:val="002E4D78"/>
    <w:rsid w:val="002E510D"/>
    <w:rsid w:val="002E5425"/>
    <w:rsid w:val="002E56F4"/>
    <w:rsid w:val="002E5C31"/>
    <w:rsid w:val="002E5F2D"/>
    <w:rsid w:val="002E6230"/>
    <w:rsid w:val="002E7916"/>
    <w:rsid w:val="002F01FB"/>
    <w:rsid w:val="002F0D07"/>
    <w:rsid w:val="002F3354"/>
    <w:rsid w:val="002F3C45"/>
    <w:rsid w:val="002F4869"/>
    <w:rsid w:val="002F49F5"/>
    <w:rsid w:val="002F4D41"/>
    <w:rsid w:val="002F4E95"/>
    <w:rsid w:val="002F5D12"/>
    <w:rsid w:val="002F6ABC"/>
    <w:rsid w:val="002F7CD5"/>
    <w:rsid w:val="00300283"/>
    <w:rsid w:val="003009CB"/>
    <w:rsid w:val="003025F9"/>
    <w:rsid w:val="003033C6"/>
    <w:rsid w:val="003033CE"/>
    <w:rsid w:val="0030547D"/>
    <w:rsid w:val="00305B66"/>
    <w:rsid w:val="003068C8"/>
    <w:rsid w:val="00307F38"/>
    <w:rsid w:val="00310085"/>
    <w:rsid w:val="00310511"/>
    <w:rsid w:val="00310695"/>
    <w:rsid w:val="00310E8D"/>
    <w:rsid w:val="003121B3"/>
    <w:rsid w:val="00312B70"/>
    <w:rsid w:val="00312F62"/>
    <w:rsid w:val="0031328C"/>
    <w:rsid w:val="0031412C"/>
    <w:rsid w:val="00314AF9"/>
    <w:rsid w:val="003153B9"/>
    <w:rsid w:val="003154AA"/>
    <w:rsid w:val="0031608F"/>
    <w:rsid w:val="00316243"/>
    <w:rsid w:val="0031678A"/>
    <w:rsid w:val="003174AC"/>
    <w:rsid w:val="00317A53"/>
    <w:rsid w:val="00317BD4"/>
    <w:rsid w:val="00317DEA"/>
    <w:rsid w:val="003202F6"/>
    <w:rsid w:val="00321240"/>
    <w:rsid w:val="00321269"/>
    <w:rsid w:val="0032292F"/>
    <w:rsid w:val="003235BA"/>
    <w:rsid w:val="00323F93"/>
    <w:rsid w:val="00324572"/>
    <w:rsid w:val="0032504C"/>
    <w:rsid w:val="00325599"/>
    <w:rsid w:val="00325A7D"/>
    <w:rsid w:val="00326CF5"/>
    <w:rsid w:val="00327349"/>
    <w:rsid w:val="00327858"/>
    <w:rsid w:val="00327EE7"/>
    <w:rsid w:val="00330153"/>
    <w:rsid w:val="00330C2A"/>
    <w:rsid w:val="00330E69"/>
    <w:rsid w:val="003315A2"/>
    <w:rsid w:val="00332CB4"/>
    <w:rsid w:val="003330F9"/>
    <w:rsid w:val="00333A7D"/>
    <w:rsid w:val="00333B55"/>
    <w:rsid w:val="003344F7"/>
    <w:rsid w:val="00334B9C"/>
    <w:rsid w:val="0033597B"/>
    <w:rsid w:val="00335995"/>
    <w:rsid w:val="003363A5"/>
    <w:rsid w:val="003378BE"/>
    <w:rsid w:val="00340D70"/>
    <w:rsid w:val="00340E1E"/>
    <w:rsid w:val="00341176"/>
    <w:rsid w:val="0034215B"/>
    <w:rsid w:val="0034255A"/>
    <w:rsid w:val="00342805"/>
    <w:rsid w:val="0034291D"/>
    <w:rsid w:val="00342E18"/>
    <w:rsid w:val="003433F2"/>
    <w:rsid w:val="00343648"/>
    <w:rsid w:val="0034401D"/>
    <w:rsid w:val="003447FC"/>
    <w:rsid w:val="00344B3D"/>
    <w:rsid w:val="00344F90"/>
    <w:rsid w:val="0034548E"/>
    <w:rsid w:val="00345595"/>
    <w:rsid w:val="003456BD"/>
    <w:rsid w:val="00345959"/>
    <w:rsid w:val="00345A37"/>
    <w:rsid w:val="00345B03"/>
    <w:rsid w:val="00347ECD"/>
    <w:rsid w:val="00351C2E"/>
    <w:rsid w:val="0035209C"/>
    <w:rsid w:val="003521CA"/>
    <w:rsid w:val="003537C8"/>
    <w:rsid w:val="00354C0B"/>
    <w:rsid w:val="00355F58"/>
    <w:rsid w:val="00356324"/>
    <w:rsid w:val="00357164"/>
    <w:rsid w:val="003571CD"/>
    <w:rsid w:val="0035787A"/>
    <w:rsid w:val="00357C36"/>
    <w:rsid w:val="00357EC1"/>
    <w:rsid w:val="00360A60"/>
    <w:rsid w:val="00360DBC"/>
    <w:rsid w:val="0036113A"/>
    <w:rsid w:val="00361453"/>
    <w:rsid w:val="003641B0"/>
    <w:rsid w:val="0036426D"/>
    <w:rsid w:val="00364B1B"/>
    <w:rsid w:val="00364C6B"/>
    <w:rsid w:val="00364D67"/>
    <w:rsid w:val="0036535F"/>
    <w:rsid w:val="00365422"/>
    <w:rsid w:val="0036598A"/>
    <w:rsid w:val="00365B5B"/>
    <w:rsid w:val="003675BD"/>
    <w:rsid w:val="00367854"/>
    <w:rsid w:val="003678DB"/>
    <w:rsid w:val="0037006E"/>
    <w:rsid w:val="003701BA"/>
    <w:rsid w:val="00371193"/>
    <w:rsid w:val="00372E34"/>
    <w:rsid w:val="00373623"/>
    <w:rsid w:val="003738ED"/>
    <w:rsid w:val="00373A1D"/>
    <w:rsid w:val="003742FA"/>
    <w:rsid w:val="00374840"/>
    <w:rsid w:val="003748B2"/>
    <w:rsid w:val="003748EE"/>
    <w:rsid w:val="00375814"/>
    <w:rsid w:val="0037604C"/>
    <w:rsid w:val="00376816"/>
    <w:rsid w:val="003768E0"/>
    <w:rsid w:val="00376DB3"/>
    <w:rsid w:val="00377A5D"/>
    <w:rsid w:val="0038064D"/>
    <w:rsid w:val="00380738"/>
    <w:rsid w:val="003807F5"/>
    <w:rsid w:val="00380E95"/>
    <w:rsid w:val="003825DE"/>
    <w:rsid w:val="003828ED"/>
    <w:rsid w:val="00382E44"/>
    <w:rsid w:val="0038362C"/>
    <w:rsid w:val="00384208"/>
    <w:rsid w:val="00384489"/>
    <w:rsid w:val="003845FD"/>
    <w:rsid w:val="00384AA0"/>
    <w:rsid w:val="00384AB3"/>
    <w:rsid w:val="00384CAE"/>
    <w:rsid w:val="00384CBC"/>
    <w:rsid w:val="00385F2E"/>
    <w:rsid w:val="0038623F"/>
    <w:rsid w:val="003867C6"/>
    <w:rsid w:val="003877D6"/>
    <w:rsid w:val="003902DF"/>
    <w:rsid w:val="0039042F"/>
    <w:rsid w:val="003917F8"/>
    <w:rsid w:val="00391885"/>
    <w:rsid w:val="00391C78"/>
    <w:rsid w:val="003921A5"/>
    <w:rsid w:val="0039244D"/>
    <w:rsid w:val="003924EA"/>
    <w:rsid w:val="00392E32"/>
    <w:rsid w:val="00393723"/>
    <w:rsid w:val="00393898"/>
    <w:rsid w:val="00394132"/>
    <w:rsid w:val="003948FD"/>
    <w:rsid w:val="003957A7"/>
    <w:rsid w:val="00396504"/>
    <w:rsid w:val="0039797B"/>
    <w:rsid w:val="00397B9F"/>
    <w:rsid w:val="00397D4E"/>
    <w:rsid w:val="00397E2F"/>
    <w:rsid w:val="003A0482"/>
    <w:rsid w:val="003A06A6"/>
    <w:rsid w:val="003A110C"/>
    <w:rsid w:val="003A17CB"/>
    <w:rsid w:val="003A19EC"/>
    <w:rsid w:val="003A20EE"/>
    <w:rsid w:val="003A233D"/>
    <w:rsid w:val="003A39B0"/>
    <w:rsid w:val="003A3A15"/>
    <w:rsid w:val="003A444D"/>
    <w:rsid w:val="003A453A"/>
    <w:rsid w:val="003A4974"/>
    <w:rsid w:val="003A4C59"/>
    <w:rsid w:val="003A4F3B"/>
    <w:rsid w:val="003A5DB4"/>
    <w:rsid w:val="003A64FA"/>
    <w:rsid w:val="003A66D2"/>
    <w:rsid w:val="003A6753"/>
    <w:rsid w:val="003A6B74"/>
    <w:rsid w:val="003A739D"/>
    <w:rsid w:val="003A73E8"/>
    <w:rsid w:val="003A7AD1"/>
    <w:rsid w:val="003B0CC8"/>
    <w:rsid w:val="003B25CB"/>
    <w:rsid w:val="003B33AF"/>
    <w:rsid w:val="003B384F"/>
    <w:rsid w:val="003B3DC7"/>
    <w:rsid w:val="003B4460"/>
    <w:rsid w:val="003B702E"/>
    <w:rsid w:val="003C0796"/>
    <w:rsid w:val="003C102D"/>
    <w:rsid w:val="003C205A"/>
    <w:rsid w:val="003C2DEB"/>
    <w:rsid w:val="003C3D6B"/>
    <w:rsid w:val="003C548D"/>
    <w:rsid w:val="003C5941"/>
    <w:rsid w:val="003C5EBB"/>
    <w:rsid w:val="003C5F91"/>
    <w:rsid w:val="003C6486"/>
    <w:rsid w:val="003C699B"/>
    <w:rsid w:val="003D0927"/>
    <w:rsid w:val="003D0A89"/>
    <w:rsid w:val="003D117D"/>
    <w:rsid w:val="003D186B"/>
    <w:rsid w:val="003D32F4"/>
    <w:rsid w:val="003D423E"/>
    <w:rsid w:val="003D445A"/>
    <w:rsid w:val="003D47CA"/>
    <w:rsid w:val="003D606B"/>
    <w:rsid w:val="003D63F3"/>
    <w:rsid w:val="003D646B"/>
    <w:rsid w:val="003D6505"/>
    <w:rsid w:val="003D7576"/>
    <w:rsid w:val="003D77EE"/>
    <w:rsid w:val="003D7F93"/>
    <w:rsid w:val="003E15D9"/>
    <w:rsid w:val="003E1F8B"/>
    <w:rsid w:val="003E2042"/>
    <w:rsid w:val="003E2E73"/>
    <w:rsid w:val="003E330A"/>
    <w:rsid w:val="003E3D00"/>
    <w:rsid w:val="003E485F"/>
    <w:rsid w:val="003E4B68"/>
    <w:rsid w:val="003E4E44"/>
    <w:rsid w:val="003E59D1"/>
    <w:rsid w:val="003E68C6"/>
    <w:rsid w:val="003E7104"/>
    <w:rsid w:val="003E717D"/>
    <w:rsid w:val="003E7400"/>
    <w:rsid w:val="003E7510"/>
    <w:rsid w:val="003E753A"/>
    <w:rsid w:val="003E784F"/>
    <w:rsid w:val="003E7B4C"/>
    <w:rsid w:val="003E7C6C"/>
    <w:rsid w:val="003F029B"/>
    <w:rsid w:val="003F03FD"/>
    <w:rsid w:val="003F072E"/>
    <w:rsid w:val="003F231E"/>
    <w:rsid w:val="003F23A1"/>
    <w:rsid w:val="003F26C5"/>
    <w:rsid w:val="003F3F1B"/>
    <w:rsid w:val="003F3FBD"/>
    <w:rsid w:val="003F46E2"/>
    <w:rsid w:val="003F4C28"/>
    <w:rsid w:val="003F5B7E"/>
    <w:rsid w:val="003F674C"/>
    <w:rsid w:val="003F6BC6"/>
    <w:rsid w:val="0040007F"/>
    <w:rsid w:val="0040089D"/>
    <w:rsid w:val="0040092E"/>
    <w:rsid w:val="00401745"/>
    <w:rsid w:val="00401F15"/>
    <w:rsid w:val="00402C60"/>
    <w:rsid w:val="00402C8C"/>
    <w:rsid w:val="004036EB"/>
    <w:rsid w:val="004041D3"/>
    <w:rsid w:val="0040444E"/>
    <w:rsid w:val="00404CB2"/>
    <w:rsid w:val="00405723"/>
    <w:rsid w:val="004065C5"/>
    <w:rsid w:val="0040670A"/>
    <w:rsid w:val="0040695B"/>
    <w:rsid w:val="00407750"/>
    <w:rsid w:val="00407F85"/>
    <w:rsid w:val="004104AE"/>
    <w:rsid w:val="00411836"/>
    <w:rsid w:val="00411E0E"/>
    <w:rsid w:val="00413203"/>
    <w:rsid w:val="00413282"/>
    <w:rsid w:val="0041369D"/>
    <w:rsid w:val="0041386D"/>
    <w:rsid w:val="00414DC3"/>
    <w:rsid w:val="00414F87"/>
    <w:rsid w:val="004152EA"/>
    <w:rsid w:val="00415330"/>
    <w:rsid w:val="00415B72"/>
    <w:rsid w:val="00415C28"/>
    <w:rsid w:val="00415E1B"/>
    <w:rsid w:val="004165F1"/>
    <w:rsid w:val="00417113"/>
    <w:rsid w:val="00417145"/>
    <w:rsid w:val="0041723B"/>
    <w:rsid w:val="004176D3"/>
    <w:rsid w:val="00417BA6"/>
    <w:rsid w:val="00417D9D"/>
    <w:rsid w:val="00417DFB"/>
    <w:rsid w:val="00420D09"/>
    <w:rsid w:val="00421F62"/>
    <w:rsid w:val="0042210C"/>
    <w:rsid w:val="004238F1"/>
    <w:rsid w:val="00423C42"/>
    <w:rsid w:val="00423FAB"/>
    <w:rsid w:val="004240DB"/>
    <w:rsid w:val="00424D4B"/>
    <w:rsid w:val="00425650"/>
    <w:rsid w:val="00425ABE"/>
    <w:rsid w:val="00425E2E"/>
    <w:rsid w:val="00427241"/>
    <w:rsid w:val="004279F5"/>
    <w:rsid w:val="004310B9"/>
    <w:rsid w:val="00431BA8"/>
    <w:rsid w:val="0043309C"/>
    <w:rsid w:val="004331F3"/>
    <w:rsid w:val="0043360E"/>
    <w:rsid w:val="004336F4"/>
    <w:rsid w:val="00434A4B"/>
    <w:rsid w:val="00434FAC"/>
    <w:rsid w:val="004355E3"/>
    <w:rsid w:val="00435CA5"/>
    <w:rsid w:val="00436988"/>
    <w:rsid w:val="004371D1"/>
    <w:rsid w:val="00437EB8"/>
    <w:rsid w:val="00437F49"/>
    <w:rsid w:val="004408F2"/>
    <w:rsid w:val="00440F11"/>
    <w:rsid w:val="004412C9"/>
    <w:rsid w:val="00442498"/>
    <w:rsid w:val="004425E6"/>
    <w:rsid w:val="00442F35"/>
    <w:rsid w:val="004437C1"/>
    <w:rsid w:val="00444C76"/>
    <w:rsid w:val="00444E1D"/>
    <w:rsid w:val="0044523D"/>
    <w:rsid w:val="00445710"/>
    <w:rsid w:val="00446F30"/>
    <w:rsid w:val="00446FE3"/>
    <w:rsid w:val="0044744C"/>
    <w:rsid w:val="0044770E"/>
    <w:rsid w:val="00450289"/>
    <w:rsid w:val="0045063B"/>
    <w:rsid w:val="00450F18"/>
    <w:rsid w:val="00451415"/>
    <w:rsid w:val="00451AB6"/>
    <w:rsid w:val="00451E20"/>
    <w:rsid w:val="0045258D"/>
    <w:rsid w:val="004528F3"/>
    <w:rsid w:val="00452E5E"/>
    <w:rsid w:val="0045435B"/>
    <w:rsid w:val="00454B16"/>
    <w:rsid w:val="00454E9A"/>
    <w:rsid w:val="00454EC4"/>
    <w:rsid w:val="00454F08"/>
    <w:rsid w:val="00454F89"/>
    <w:rsid w:val="00455510"/>
    <w:rsid w:val="00455724"/>
    <w:rsid w:val="004559C2"/>
    <w:rsid w:val="0045600A"/>
    <w:rsid w:val="00456083"/>
    <w:rsid w:val="004564B9"/>
    <w:rsid w:val="004565D6"/>
    <w:rsid w:val="0045793E"/>
    <w:rsid w:val="00457CDA"/>
    <w:rsid w:val="004600E6"/>
    <w:rsid w:val="00460133"/>
    <w:rsid w:val="00460460"/>
    <w:rsid w:val="004606D8"/>
    <w:rsid w:val="00460A40"/>
    <w:rsid w:val="00460B5E"/>
    <w:rsid w:val="004614EB"/>
    <w:rsid w:val="004615A6"/>
    <w:rsid w:val="00461879"/>
    <w:rsid w:val="004618F3"/>
    <w:rsid w:val="00462E4F"/>
    <w:rsid w:val="00462FB2"/>
    <w:rsid w:val="004637AC"/>
    <w:rsid w:val="00464232"/>
    <w:rsid w:val="00464390"/>
    <w:rsid w:val="004645F0"/>
    <w:rsid w:val="00464C57"/>
    <w:rsid w:val="00464C93"/>
    <w:rsid w:val="00465674"/>
    <w:rsid w:val="004658F7"/>
    <w:rsid w:val="00465A36"/>
    <w:rsid w:val="004665E4"/>
    <w:rsid w:val="00466601"/>
    <w:rsid w:val="004671E7"/>
    <w:rsid w:val="004672D3"/>
    <w:rsid w:val="0046754E"/>
    <w:rsid w:val="0046795A"/>
    <w:rsid w:val="0047028A"/>
    <w:rsid w:val="0047071B"/>
    <w:rsid w:val="00470F83"/>
    <w:rsid w:val="00471CFE"/>
    <w:rsid w:val="00473082"/>
    <w:rsid w:val="0047341A"/>
    <w:rsid w:val="00473ECE"/>
    <w:rsid w:val="00473ED0"/>
    <w:rsid w:val="00475CFA"/>
    <w:rsid w:val="00476351"/>
    <w:rsid w:val="0048006A"/>
    <w:rsid w:val="00480651"/>
    <w:rsid w:val="00481028"/>
    <w:rsid w:val="004811E2"/>
    <w:rsid w:val="00482833"/>
    <w:rsid w:val="004828DB"/>
    <w:rsid w:val="00482DD5"/>
    <w:rsid w:val="004832CC"/>
    <w:rsid w:val="00483318"/>
    <w:rsid w:val="00484730"/>
    <w:rsid w:val="00486F4B"/>
    <w:rsid w:val="0048705D"/>
    <w:rsid w:val="00487F84"/>
    <w:rsid w:val="00490518"/>
    <w:rsid w:val="00490618"/>
    <w:rsid w:val="00490FAB"/>
    <w:rsid w:val="00491706"/>
    <w:rsid w:val="00491BB7"/>
    <w:rsid w:val="00491D89"/>
    <w:rsid w:val="004926DE"/>
    <w:rsid w:val="0049271E"/>
    <w:rsid w:val="004929C1"/>
    <w:rsid w:val="00495C12"/>
    <w:rsid w:val="00496F01"/>
    <w:rsid w:val="004977CE"/>
    <w:rsid w:val="00497DBA"/>
    <w:rsid w:val="004A0711"/>
    <w:rsid w:val="004A0F29"/>
    <w:rsid w:val="004A1124"/>
    <w:rsid w:val="004A185C"/>
    <w:rsid w:val="004A1D1B"/>
    <w:rsid w:val="004A2135"/>
    <w:rsid w:val="004A364C"/>
    <w:rsid w:val="004A371A"/>
    <w:rsid w:val="004A3CA7"/>
    <w:rsid w:val="004A43CA"/>
    <w:rsid w:val="004A4682"/>
    <w:rsid w:val="004A4912"/>
    <w:rsid w:val="004A49C5"/>
    <w:rsid w:val="004A4DB7"/>
    <w:rsid w:val="004A4F24"/>
    <w:rsid w:val="004A5A25"/>
    <w:rsid w:val="004A6FDD"/>
    <w:rsid w:val="004B01DB"/>
    <w:rsid w:val="004B024E"/>
    <w:rsid w:val="004B0C65"/>
    <w:rsid w:val="004B16CD"/>
    <w:rsid w:val="004B18C2"/>
    <w:rsid w:val="004B18F4"/>
    <w:rsid w:val="004B1B8A"/>
    <w:rsid w:val="004B227E"/>
    <w:rsid w:val="004B2410"/>
    <w:rsid w:val="004B2E72"/>
    <w:rsid w:val="004B33E1"/>
    <w:rsid w:val="004B3993"/>
    <w:rsid w:val="004B3D97"/>
    <w:rsid w:val="004B3E35"/>
    <w:rsid w:val="004B434E"/>
    <w:rsid w:val="004B4BCB"/>
    <w:rsid w:val="004B5DC2"/>
    <w:rsid w:val="004B6782"/>
    <w:rsid w:val="004B6993"/>
    <w:rsid w:val="004B6D21"/>
    <w:rsid w:val="004C0BC0"/>
    <w:rsid w:val="004C0D60"/>
    <w:rsid w:val="004C0FA8"/>
    <w:rsid w:val="004C15A5"/>
    <w:rsid w:val="004C1BB4"/>
    <w:rsid w:val="004C1D4D"/>
    <w:rsid w:val="004C1F0F"/>
    <w:rsid w:val="004C2382"/>
    <w:rsid w:val="004C2FAA"/>
    <w:rsid w:val="004C41E7"/>
    <w:rsid w:val="004C44EA"/>
    <w:rsid w:val="004C45C8"/>
    <w:rsid w:val="004C5132"/>
    <w:rsid w:val="004C5C6F"/>
    <w:rsid w:val="004C5D74"/>
    <w:rsid w:val="004C7AD4"/>
    <w:rsid w:val="004C7BBA"/>
    <w:rsid w:val="004D06D1"/>
    <w:rsid w:val="004D0777"/>
    <w:rsid w:val="004D0F47"/>
    <w:rsid w:val="004D267E"/>
    <w:rsid w:val="004D2790"/>
    <w:rsid w:val="004D305D"/>
    <w:rsid w:val="004D433A"/>
    <w:rsid w:val="004D4A43"/>
    <w:rsid w:val="004D4F46"/>
    <w:rsid w:val="004D647E"/>
    <w:rsid w:val="004D67CA"/>
    <w:rsid w:val="004D69AB"/>
    <w:rsid w:val="004D7208"/>
    <w:rsid w:val="004D757C"/>
    <w:rsid w:val="004D7A6B"/>
    <w:rsid w:val="004D7FF4"/>
    <w:rsid w:val="004E05CC"/>
    <w:rsid w:val="004E0E29"/>
    <w:rsid w:val="004E1A6A"/>
    <w:rsid w:val="004E4E9D"/>
    <w:rsid w:val="004E4FAA"/>
    <w:rsid w:val="004E51AE"/>
    <w:rsid w:val="004E5A98"/>
    <w:rsid w:val="004E656B"/>
    <w:rsid w:val="004E71AA"/>
    <w:rsid w:val="004F010B"/>
    <w:rsid w:val="004F096A"/>
    <w:rsid w:val="004F124D"/>
    <w:rsid w:val="004F1B34"/>
    <w:rsid w:val="004F3376"/>
    <w:rsid w:val="004F40A8"/>
    <w:rsid w:val="004F5359"/>
    <w:rsid w:val="004F5A6B"/>
    <w:rsid w:val="004F5C2B"/>
    <w:rsid w:val="004F6609"/>
    <w:rsid w:val="004F68D3"/>
    <w:rsid w:val="004F7BDE"/>
    <w:rsid w:val="00500861"/>
    <w:rsid w:val="005014D8"/>
    <w:rsid w:val="00501516"/>
    <w:rsid w:val="00502D2A"/>
    <w:rsid w:val="00503F95"/>
    <w:rsid w:val="005042F5"/>
    <w:rsid w:val="00504A66"/>
    <w:rsid w:val="00504A95"/>
    <w:rsid w:val="005051AF"/>
    <w:rsid w:val="00505BB5"/>
    <w:rsid w:val="00505EA7"/>
    <w:rsid w:val="00506A59"/>
    <w:rsid w:val="00511B2B"/>
    <w:rsid w:val="00511C7B"/>
    <w:rsid w:val="00512300"/>
    <w:rsid w:val="00512533"/>
    <w:rsid w:val="005130DC"/>
    <w:rsid w:val="0051339F"/>
    <w:rsid w:val="00513585"/>
    <w:rsid w:val="005135D4"/>
    <w:rsid w:val="00514D0D"/>
    <w:rsid w:val="0051540A"/>
    <w:rsid w:val="00516450"/>
    <w:rsid w:val="005169E4"/>
    <w:rsid w:val="00520977"/>
    <w:rsid w:val="00520D93"/>
    <w:rsid w:val="005215F4"/>
    <w:rsid w:val="005218DE"/>
    <w:rsid w:val="005221DE"/>
    <w:rsid w:val="0052248E"/>
    <w:rsid w:val="00523166"/>
    <w:rsid w:val="005236A5"/>
    <w:rsid w:val="00523F41"/>
    <w:rsid w:val="005253C3"/>
    <w:rsid w:val="00525563"/>
    <w:rsid w:val="00526252"/>
    <w:rsid w:val="00526334"/>
    <w:rsid w:val="00526521"/>
    <w:rsid w:val="005278B8"/>
    <w:rsid w:val="005278E7"/>
    <w:rsid w:val="005307AA"/>
    <w:rsid w:val="00530868"/>
    <w:rsid w:val="0053088F"/>
    <w:rsid w:val="005309C5"/>
    <w:rsid w:val="00530B47"/>
    <w:rsid w:val="0053127A"/>
    <w:rsid w:val="005316CF"/>
    <w:rsid w:val="00532BB2"/>
    <w:rsid w:val="00532C53"/>
    <w:rsid w:val="005337FA"/>
    <w:rsid w:val="00533993"/>
    <w:rsid w:val="00533AAC"/>
    <w:rsid w:val="00533CE1"/>
    <w:rsid w:val="00533D6C"/>
    <w:rsid w:val="00533E9B"/>
    <w:rsid w:val="00534E54"/>
    <w:rsid w:val="00535131"/>
    <w:rsid w:val="00535FE7"/>
    <w:rsid w:val="0053676C"/>
    <w:rsid w:val="00536C84"/>
    <w:rsid w:val="00536DF0"/>
    <w:rsid w:val="00536EC1"/>
    <w:rsid w:val="00537484"/>
    <w:rsid w:val="005377BB"/>
    <w:rsid w:val="00540103"/>
    <w:rsid w:val="00540604"/>
    <w:rsid w:val="00540A98"/>
    <w:rsid w:val="005412F8"/>
    <w:rsid w:val="00541537"/>
    <w:rsid w:val="0054191E"/>
    <w:rsid w:val="00541EA4"/>
    <w:rsid w:val="005436FF"/>
    <w:rsid w:val="0054387C"/>
    <w:rsid w:val="005445BB"/>
    <w:rsid w:val="005449BF"/>
    <w:rsid w:val="00544B73"/>
    <w:rsid w:val="00545B2E"/>
    <w:rsid w:val="005468C9"/>
    <w:rsid w:val="0054700B"/>
    <w:rsid w:val="00547E6D"/>
    <w:rsid w:val="005502FE"/>
    <w:rsid w:val="005503D5"/>
    <w:rsid w:val="00550B0F"/>
    <w:rsid w:val="00550F29"/>
    <w:rsid w:val="00551444"/>
    <w:rsid w:val="005519FD"/>
    <w:rsid w:val="00551DB7"/>
    <w:rsid w:val="005522F1"/>
    <w:rsid w:val="0055230D"/>
    <w:rsid w:val="00552314"/>
    <w:rsid w:val="00553B05"/>
    <w:rsid w:val="00553C74"/>
    <w:rsid w:val="00554239"/>
    <w:rsid w:val="0055432D"/>
    <w:rsid w:val="00554480"/>
    <w:rsid w:val="00554831"/>
    <w:rsid w:val="0055517A"/>
    <w:rsid w:val="00555195"/>
    <w:rsid w:val="00555361"/>
    <w:rsid w:val="005556C9"/>
    <w:rsid w:val="005559F7"/>
    <w:rsid w:val="00555B4A"/>
    <w:rsid w:val="00555E44"/>
    <w:rsid w:val="00556642"/>
    <w:rsid w:val="00556789"/>
    <w:rsid w:val="0055686D"/>
    <w:rsid w:val="005571A3"/>
    <w:rsid w:val="0055756F"/>
    <w:rsid w:val="0055788E"/>
    <w:rsid w:val="0056029B"/>
    <w:rsid w:val="005606CB"/>
    <w:rsid w:val="005606FD"/>
    <w:rsid w:val="00560E09"/>
    <w:rsid w:val="00561ABE"/>
    <w:rsid w:val="00561C33"/>
    <w:rsid w:val="00561CFE"/>
    <w:rsid w:val="00561F93"/>
    <w:rsid w:val="00561FDB"/>
    <w:rsid w:val="0056291B"/>
    <w:rsid w:val="00562972"/>
    <w:rsid w:val="00562B29"/>
    <w:rsid w:val="00563116"/>
    <w:rsid w:val="00563F85"/>
    <w:rsid w:val="00563FA3"/>
    <w:rsid w:val="00564D1C"/>
    <w:rsid w:val="00564E98"/>
    <w:rsid w:val="00565427"/>
    <w:rsid w:val="005663C5"/>
    <w:rsid w:val="00566524"/>
    <w:rsid w:val="00566C07"/>
    <w:rsid w:val="0056708B"/>
    <w:rsid w:val="00567A02"/>
    <w:rsid w:val="00567FDC"/>
    <w:rsid w:val="005709EC"/>
    <w:rsid w:val="005718FB"/>
    <w:rsid w:val="00572399"/>
    <w:rsid w:val="005727A4"/>
    <w:rsid w:val="00572881"/>
    <w:rsid w:val="00574242"/>
    <w:rsid w:val="00575448"/>
    <w:rsid w:val="00575699"/>
    <w:rsid w:val="00575BD8"/>
    <w:rsid w:val="00576894"/>
    <w:rsid w:val="00576A23"/>
    <w:rsid w:val="00576B40"/>
    <w:rsid w:val="00577907"/>
    <w:rsid w:val="00577F58"/>
    <w:rsid w:val="00581148"/>
    <w:rsid w:val="00581547"/>
    <w:rsid w:val="00581D14"/>
    <w:rsid w:val="00581E74"/>
    <w:rsid w:val="00581E78"/>
    <w:rsid w:val="00582198"/>
    <w:rsid w:val="005821A3"/>
    <w:rsid w:val="00582A48"/>
    <w:rsid w:val="00582D70"/>
    <w:rsid w:val="00583220"/>
    <w:rsid w:val="00583998"/>
    <w:rsid w:val="00583A16"/>
    <w:rsid w:val="00583E5D"/>
    <w:rsid w:val="005849C6"/>
    <w:rsid w:val="00584F98"/>
    <w:rsid w:val="005860B2"/>
    <w:rsid w:val="005868BF"/>
    <w:rsid w:val="00587228"/>
    <w:rsid w:val="005873A5"/>
    <w:rsid w:val="005879BC"/>
    <w:rsid w:val="00587ECD"/>
    <w:rsid w:val="00590D8B"/>
    <w:rsid w:val="00591C98"/>
    <w:rsid w:val="0059347A"/>
    <w:rsid w:val="005937D5"/>
    <w:rsid w:val="0059380A"/>
    <w:rsid w:val="00594F9E"/>
    <w:rsid w:val="0059537D"/>
    <w:rsid w:val="00595648"/>
    <w:rsid w:val="0059588D"/>
    <w:rsid w:val="0059590C"/>
    <w:rsid w:val="00595B61"/>
    <w:rsid w:val="00595C5C"/>
    <w:rsid w:val="005966D8"/>
    <w:rsid w:val="0059677B"/>
    <w:rsid w:val="00596D7B"/>
    <w:rsid w:val="00597EAF"/>
    <w:rsid w:val="005A0408"/>
    <w:rsid w:val="005A0508"/>
    <w:rsid w:val="005A08E7"/>
    <w:rsid w:val="005A0CFE"/>
    <w:rsid w:val="005A0FFA"/>
    <w:rsid w:val="005A190A"/>
    <w:rsid w:val="005A1A8F"/>
    <w:rsid w:val="005A25B9"/>
    <w:rsid w:val="005A2922"/>
    <w:rsid w:val="005A2D78"/>
    <w:rsid w:val="005A32B4"/>
    <w:rsid w:val="005A4A74"/>
    <w:rsid w:val="005A4A93"/>
    <w:rsid w:val="005A52FB"/>
    <w:rsid w:val="005A5B3E"/>
    <w:rsid w:val="005A5BD6"/>
    <w:rsid w:val="005A61F1"/>
    <w:rsid w:val="005A6391"/>
    <w:rsid w:val="005A7DBA"/>
    <w:rsid w:val="005A7F63"/>
    <w:rsid w:val="005B01D3"/>
    <w:rsid w:val="005B062E"/>
    <w:rsid w:val="005B0A63"/>
    <w:rsid w:val="005B2B12"/>
    <w:rsid w:val="005B333C"/>
    <w:rsid w:val="005B3551"/>
    <w:rsid w:val="005B3CAB"/>
    <w:rsid w:val="005B3EFA"/>
    <w:rsid w:val="005B3FB6"/>
    <w:rsid w:val="005B6278"/>
    <w:rsid w:val="005C02F6"/>
    <w:rsid w:val="005C04BA"/>
    <w:rsid w:val="005C0866"/>
    <w:rsid w:val="005C0F67"/>
    <w:rsid w:val="005C1E4D"/>
    <w:rsid w:val="005C29EB"/>
    <w:rsid w:val="005C2A69"/>
    <w:rsid w:val="005C2F90"/>
    <w:rsid w:val="005C338B"/>
    <w:rsid w:val="005C37A5"/>
    <w:rsid w:val="005C38C1"/>
    <w:rsid w:val="005C38FB"/>
    <w:rsid w:val="005C3EBA"/>
    <w:rsid w:val="005C43CA"/>
    <w:rsid w:val="005C5078"/>
    <w:rsid w:val="005C5CF6"/>
    <w:rsid w:val="005C6142"/>
    <w:rsid w:val="005C6457"/>
    <w:rsid w:val="005C6486"/>
    <w:rsid w:val="005C6CC5"/>
    <w:rsid w:val="005C7419"/>
    <w:rsid w:val="005C7D7F"/>
    <w:rsid w:val="005D07BA"/>
    <w:rsid w:val="005D0C71"/>
    <w:rsid w:val="005D10C6"/>
    <w:rsid w:val="005D1171"/>
    <w:rsid w:val="005D16D5"/>
    <w:rsid w:val="005D192E"/>
    <w:rsid w:val="005D22BB"/>
    <w:rsid w:val="005D24A8"/>
    <w:rsid w:val="005D33C6"/>
    <w:rsid w:val="005D3F7F"/>
    <w:rsid w:val="005D42DB"/>
    <w:rsid w:val="005D4358"/>
    <w:rsid w:val="005D476E"/>
    <w:rsid w:val="005D4CE1"/>
    <w:rsid w:val="005D4D75"/>
    <w:rsid w:val="005D5440"/>
    <w:rsid w:val="005D5B35"/>
    <w:rsid w:val="005D61F9"/>
    <w:rsid w:val="005D6E12"/>
    <w:rsid w:val="005D7A46"/>
    <w:rsid w:val="005D7B3E"/>
    <w:rsid w:val="005D7C61"/>
    <w:rsid w:val="005E15BA"/>
    <w:rsid w:val="005E1FB0"/>
    <w:rsid w:val="005E2B59"/>
    <w:rsid w:val="005E2D22"/>
    <w:rsid w:val="005E40A8"/>
    <w:rsid w:val="005E43BC"/>
    <w:rsid w:val="005E45CF"/>
    <w:rsid w:val="005E46F8"/>
    <w:rsid w:val="005E5554"/>
    <w:rsid w:val="005E56C1"/>
    <w:rsid w:val="005E6A14"/>
    <w:rsid w:val="005E6D3C"/>
    <w:rsid w:val="005E6E64"/>
    <w:rsid w:val="005E7298"/>
    <w:rsid w:val="005E7BD3"/>
    <w:rsid w:val="005E7C7C"/>
    <w:rsid w:val="005F0CFC"/>
    <w:rsid w:val="005F1A65"/>
    <w:rsid w:val="005F3B58"/>
    <w:rsid w:val="005F3ED3"/>
    <w:rsid w:val="005F4040"/>
    <w:rsid w:val="005F4634"/>
    <w:rsid w:val="005F4AF1"/>
    <w:rsid w:val="005F4DF0"/>
    <w:rsid w:val="005F5F7C"/>
    <w:rsid w:val="005F65F8"/>
    <w:rsid w:val="005F73EA"/>
    <w:rsid w:val="005F7899"/>
    <w:rsid w:val="0060088D"/>
    <w:rsid w:val="0060098B"/>
    <w:rsid w:val="00602160"/>
    <w:rsid w:val="006036AD"/>
    <w:rsid w:val="00603C23"/>
    <w:rsid w:val="0060450A"/>
    <w:rsid w:val="006050D3"/>
    <w:rsid w:val="006053C7"/>
    <w:rsid w:val="00606100"/>
    <w:rsid w:val="006063EC"/>
    <w:rsid w:val="00607220"/>
    <w:rsid w:val="0061011A"/>
    <w:rsid w:val="0061080E"/>
    <w:rsid w:val="00611061"/>
    <w:rsid w:val="00611AEE"/>
    <w:rsid w:val="006120B9"/>
    <w:rsid w:val="0061339C"/>
    <w:rsid w:val="00613BFE"/>
    <w:rsid w:val="00613F1A"/>
    <w:rsid w:val="006146EE"/>
    <w:rsid w:val="0061516C"/>
    <w:rsid w:val="0061550E"/>
    <w:rsid w:val="0061693B"/>
    <w:rsid w:val="00617F10"/>
    <w:rsid w:val="00620209"/>
    <w:rsid w:val="00620212"/>
    <w:rsid w:val="00620219"/>
    <w:rsid w:val="00620E6E"/>
    <w:rsid w:val="006214E1"/>
    <w:rsid w:val="00622A9E"/>
    <w:rsid w:val="00623F02"/>
    <w:rsid w:val="00623F07"/>
    <w:rsid w:val="006241B9"/>
    <w:rsid w:val="0062571C"/>
    <w:rsid w:val="00627429"/>
    <w:rsid w:val="0062783E"/>
    <w:rsid w:val="00630786"/>
    <w:rsid w:val="00630CC8"/>
    <w:rsid w:val="0063145A"/>
    <w:rsid w:val="00631811"/>
    <w:rsid w:val="00632E16"/>
    <w:rsid w:val="0063300A"/>
    <w:rsid w:val="00633295"/>
    <w:rsid w:val="0063330F"/>
    <w:rsid w:val="00633BEB"/>
    <w:rsid w:val="00633C21"/>
    <w:rsid w:val="00633C45"/>
    <w:rsid w:val="00633EE9"/>
    <w:rsid w:val="00635D2F"/>
    <w:rsid w:val="00637005"/>
    <w:rsid w:val="006376D7"/>
    <w:rsid w:val="0064056E"/>
    <w:rsid w:val="00640CA5"/>
    <w:rsid w:val="00640E92"/>
    <w:rsid w:val="00642130"/>
    <w:rsid w:val="0064259E"/>
    <w:rsid w:val="00642BC9"/>
    <w:rsid w:val="00643339"/>
    <w:rsid w:val="006439FA"/>
    <w:rsid w:val="006449B5"/>
    <w:rsid w:val="00644CED"/>
    <w:rsid w:val="00645624"/>
    <w:rsid w:val="006456CE"/>
    <w:rsid w:val="0064598C"/>
    <w:rsid w:val="0064621B"/>
    <w:rsid w:val="00646D56"/>
    <w:rsid w:val="00646DF3"/>
    <w:rsid w:val="0064772C"/>
    <w:rsid w:val="006504CF"/>
    <w:rsid w:val="00650B6B"/>
    <w:rsid w:val="00651AD9"/>
    <w:rsid w:val="00651DC3"/>
    <w:rsid w:val="00651E4B"/>
    <w:rsid w:val="00652012"/>
    <w:rsid w:val="00653DEB"/>
    <w:rsid w:val="00653E00"/>
    <w:rsid w:val="0065415F"/>
    <w:rsid w:val="00655107"/>
    <w:rsid w:val="006557B2"/>
    <w:rsid w:val="00655B7A"/>
    <w:rsid w:val="00655FDE"/>
    <w:rsid w:val="006560F6"/>
    <w:rsid w:val="006562B5"/>
    <w:rsid w:val="006567F6"/>
    <w:rsid w:val="00656E0C"/>
    <w:rsid w:val="00657123"/>
    <w:rsid w:val="00657515"/>
    <w:rsid w:val="00660C77"/>
    <w:rsid w:val="00661036"/>
    <w:rsid w:val="00661452"/>
    <w:rsid w:val="00661637"/>
    <w:rsid w:val="00662AC5"/>
    <w:rsid w:val="00662B20"/>
    <w:rsid w:val="00662EB7"/>
    <w:rsid w:val="00662ED2"/>
    <w:rsid w:val="0066431D"/>
    <w:rsid w:val="00665487"/>
    <w:rsid w:val="00665A2D"/>
    <w:rsid w:val="00665DA3"/>
    <w:rsid w:val="00665EC5"/>
    <w:rsid w:val="00666C62"/>
    <w:rsid w:val="00667CE7"/>
    <w:rsid w:val="006708F1"/>
    <w:rsid w:val="00670C7E"/>
    <w:rsid w:val="0067178D"/>
    <w:rsid w:val="006722B8"/>
    <w:rsid w:val="006728EE"/>
    <w:rsid w:val="00672946"/>
    <w:rsid w:val="00672C2B"/>
    <w:rsid w:val="00673007"/>
    <w:rsid w:val="006734D2"/>
    <w:rsid w:val="00673B7F"/>
    <w:rsid w:val="00674E81"/>
    <w:rsid w:val="00675482"/>
    <w:rsid w:val="00677462"/>
    <w:rsid w:val="006774FF"/>
    <w:rsid w:val="00677A57"/>
    <w:rsid w:val="00677C5F"/>
    <w:rsid w:val="0068093F"/>
    <w:rsid w:val="00680CC9"/>
    <w:rsid w:val="0068147B"/>
    <w:rsid w:val="0068154A"/>
    <w:rsid w:val="0068171F"/>
    <w:rsid w:val="00681E9F"/>
    <w:rsid w:val="006823EA"/>
    <w:rsid w:val="006835D2"/>
    <w:rsid w:val="006839A6"/>
    <w:rsid w:val="00684B72"/>
    <w:rsid w:val="00684BD7"/>
    <w:rsid w:val="00685FA1"/>
    <w:rsid w:val="00685FEA"/>
    <w:rsid w:val="00686943"/>
    <w:rsid w:val="00686D4C"/>
    <w:rsid w:val="0068712D"/>
    <w:rsid w:val="0068748E"/>
    <w:rsid w:val="006909D1"/>
    <w:rsid w:val="006920C4"/>
    <w:rsid w:val="006923C3"/>
    <w:rsid w:val="00693230"/>
    <w:rsid w:val="00693491"/>
    <w:rsid w:val="00693B01"/>
    <w:rsid w:val="0069429B"/>
    <w:rsid w:val="00694FE9"/>
    <w:rsid w:val="00695BFF"/>
    <w:rsid w:val="006960A5"/>
    <w:rsid w:val="00696872"/>
    <w:rsid w:val="0069690E"/>
    <w:rsid w:val="006974DF"/>
    <w:rsid w:val="00697920"/>
    <w:rsid w:val="00697DEA"/>
    <w:rsid w:val="006A1573"/>
    <w:rsid w:val="006A1FC7"/>
    <w:rsid w:val="006A23B8"/>
    <w:rsid w:val="006A2F27"/>
    <w:rsid w:val="006A3CF0"/>
    <w:rsid w:val="006A3EA8"/>
    <w:rsid w:val="006A48A0"/>
    <w:rsid w:val="006A4BA0"/>
    <w:rsid w:val="006A5110"/>
    <w:rsid w:val="006A52C0"/>
    <w:rsid w:val="006A53BF"/>
    <w:rsid w:val="006A6317"/>
    <w:rsid w:val="006A7345"/>
    <w:rsid w:val="006A75E1"/>
    <w:rsid w:val="006A7CBA"/>
    <w:rsid w:val="006B012D"/>
    <w:rsid w:val="006B0422"/>
    <w:rsid w:val="006B0C8B"/>
    <w:rsid w:val="006B1913"/>
    <w:rsid w:val="006B196D"/>
    <w:rsid w:val="006B1FCC"/>
    <w:rsid w:val="006B495B"/>
    <w:rsid w:val="006B4EB8"/>
    <w:rsid w:val="006B663B"/>
    <w:rsid w:val="006B6BE1"/>
    <w:rsid w:val="006B6F25"/>
    <w:rsid w:val="006B76EE"/>
    <w:rsid w:val="006B77BF"/>
    <w:rsid w:val="006C0B3A"/>
    <w:rsid w:val="006C0E71"/>
    <w:rsid w:val="006C23CD"/>
    <w:rsid w:val="006C3099"/>
    <w:rsid w:val="006C3CEC"/>
    <w:rsid w:val="006C4126"/>
    <w:rsid w:val="006C4483"/>
    <w:rsid w:val="006C4D50"/>
    <w:rsid w:val="006C55D4"/>
    <w:rsid w:val="006C5655"/>
    <w:rsid w:val="006C6F52"/>
    <w:rsid w:val="006C7A7F"/>
    <w:rsid w:val="006C7C09"/>
    <w:rsid w:val="006D252D"/>
    <w:rsid w:val="006D28BD"/>
    <w:rsid w:val="006D2B70"/>
    <w:rsid w:val="006D2F7F"/>
    <w:rsid w:val="006D4D5D"/>
    <w:rsid w:val="006D5179"/>
    <w:rsid w:val="006D5B8A"/>
    <w:rsid w:val="006D63BC"/>
    <w:rsid w:val="006D7126"/>
    <w:rsid w:val="006D7724"/>
    <w:rsid w:val="006D7C74"/>
    <w:rsid w:val="006E0962"/>
    <w:rsid w:val="006E0C24"/>
    <w:rsid w:val="006E230E"/>
    <w:rsid w:val="006E25EF"/>
    <w:rsid w:val="006E266B"/>
    <w:rsid w:val="006E29FD"/>
    <w:rsid w:val="006E375A"/>
    <w:rsid w:val="006E3BBF"/>
    <w:rsid w:val="006E3C8C"/>
    <w:rsid w:val="006E42A3"/>
    <w:rsid w:val="006E4A14"/>
    <w:rsid w:val="006E61E3"/>
    <w:rsid w:val="006E6F6F"/>
    <w:rsid w:val="006E7532"/>
    <w:rsid w:val="006E75CB"/>
    <w:rsid w:val="006E7A22"/>
    <w:rsid w:val="006E7C24"/>
    <w:rsid w:val="006E7DCD"/>
    <w:rsid w:val="006F0785"/>
    <w:rsid w:val="006F078D"/>
    <w:rsid w:val="006F19F5"/>
    <w:rsid w:val="006F2FAB"/>
    <w:rsid w:val="006F372C"/>
    <w:rsid w:val="006F39EF"/>
    <w:rsid w:val="006F3C6C"/>
    <w:rsid w:val="006F40FF"/>
    <w:rsid w:val="006F531A"/>
    <w:rsid w:val="006F5B79"/>
    <w:rsid w:val="006F6C0C"/>
    <w:rsid w:val="006F7EC2"/>
    <w:rsid w:val="0070003F"/>
    <w:rsid w:val="007000F9"/>
    <w:rsid w:val="00700298"/>
    <w:rsid w:val="00700811"/>
    <w:rsid w:val="00700A3B"/>
    <w:rsid w:val="007014C5"/>
    <w:rsid w:val="00702A16"/>
    <w:rsid w:val="0070314D"/>
    <w:rsid w:val="007036EB"/>
    <w:rsid w:val="00705B38"/>
    <w:rsid w:val="00705B8D"/>
    <w:rsid w:val="00706496"/>
    <w:rsid w:val="00707746"/>
    <w:rsid w:val="00710384"/>
    <w:rsid w:val="0071041F"/>
    <w:rsid w:val="00710773"/>
    <w:rsid w:val="00710EA7"/>
    <w:rsid w:val="00710FA5"/>
    <w:rsid w:val="00711364"/>
    <w:rsid w:val="00711C34"/>
    <w:rsid w:val="00711CD3"/>
    <w:rsid w:val="007128DC"/>
    <w:rsid w:val="00712A08"/>
    <w:rsid w:val="00712D78"/>
    <w:rsid w:val="00713F36"/>
    <w:rsid w:val="0071477F"/>
    <w:rsid w:val="00715450"/>
    <w:rsid w:val="00716267"/>
    <w:rsid w:val="007207F3"/>
    <w:rsid w:val="007210C1"/>
    <w:rsid w:val="007213AA"/>
    <w:rsid w:val="00721D4D"/>
    <w:rsid w:val="00722B98"/>
    <w:rsid w:val="00722C74"/>
    <w:rsid w:val="00723361"/>
    <w:rsid w:val="00723588"/>
    <w:rsid w:val="00723698"/>
    <w:rsid w:val="007238FA"/>
    <w:rsid w:val="00723D35"/>
    <w:rsid w:val="007243F1"/>
    <w:rsid w:val="00725C41"/>
    <w:rsid w:val="00725D39"/>
    <w:rsid w:val="00725D74"/>
    <w:rsid w:val="0072616E"/>
    <w:rsid w:val="007262AC"/>
    <w:rsid w:val="00727283"/>
    <w:rsid w:val="0072740B"/>
    <w:rsid w:val="00727B0E"/>
    <w:rsid w:val="00727FBA"/>
    <w:rsid w:val="007301E4"/>
    <w:rsid w:val="00732379"/>
    <w:rsid w:val="00732C61"/>
    <w:rsid w:val="007330D6"/>
    <w:rsid w:val="00733EBB"/>
    <w:rsid w:val="00734507"/>
    <w:rsid w:val="00734C20"/>
    <w:rsid w:val="00734D48"/>
    <w:rsid w:val="00734DF0"/>
    <w:rsid w:val="00735221"/>
    <w:rsid w:val="00735261"/>
    <w:rsid w:val="00735CA9"/>
    <w:rsid w:val="0073626E"/>
    <w:rsid w:val="00736E73"/>
    <w:rsid w:val="00737D0D"/>
    <w:rsid w:val="00740C65"/>
    <w:rsid w:val="0074122F"/>
    <w:rsid w:val="00741BA2"/>
    <w:rsid w:val="00742012"/>
    <w:rsid w:val="00742EA9"/>
    <w:rsid w:val="007434CC"/>
    <w:rsid w:val="00743771"/>
    <w:rsid w:val="0074388E"/>
    <w:rsid w:val="007444A9"/>
    <w:rsid w:val="007448D1"/>
    <w:rsid w:val="00744D6B"/>
    <w:rsid w:val="00745106"/>
    <w:rsid w:val="00746E9F"/>
    <w:rsid w:val="00747AAC"/>
    <w:rsid w:val="00747C58"/>
    <w:rsid w:val="0075054C"/>
    <w:rsid w:val="007505D1"/>
    <w:rsid w:val="0075075C"/>
    <w:rsid w:val="00750BB3"/>
    <w:rsid w:val="007513A7"/>
    <w:rsid w:val="007515E0"/>
    <w:rsid w:val="007516CD"/>
    <w:rsid w:val="00751C9F"/>
    <w:rsid w:val="00751FE6"/>
    <w:rsid w:val="00752DE2"/>
    <w:rsid w:val="007533AE"/>
    <w:rsid w:val="0075347B"/>
    <w:rsid w:val="0075421D"/>
    <w:rsid w:val="0075446D"/>
    <w:rsid w:val="007546ED"/>
    <w:rsid w:val="007547F6"/>
    <w:rsid w:val="007549F0"/>
    <w:rsid w:val="00754C5F"/>
    <w:rsid w:val="007553B5"/>
    <w:rsid w:val="007562FF"/>
    <w:rsid w:val="007567BE"/>
    <w:rsid w:val="0075697D"/>
    <w:rsid w:val="00756CE7"/>
    <w:rsid w:val="00756E2C"/>
    <w:rsid w:val="007606E7"/>
    <w:rsid w:val="00760A71"/>
    <w:rsid w:val="00762A9C"/>
    <w:rsid w:val="00763437"/>
    <w:rsid w:val="00764B9A"/>
    <w:rsid w:val="007657BC"/>
    <w:rsid w:val="00766301"/>
    <w:rsid w:val="00766900"/>
    <w:rsid w:val="00766DDA"/>
    <w:rsid w:val="00766F4D"/>
    <w:rsid w:val="00770108"/>
    <w:rsid w:val="007701C0"/>
    <w:rsid w:val="0077106C"/>
    <w:rsid w:val="00771927"/>
    <w:rsid w:val="00771DEF"/>
    <w:rsid w:val="00771E43"/>
    <w:rsid w:val="00772197"/>
    <w:rsid w:val="0077273A"/>
    <w:rsid w:val="007727BE"/>
    <w:rsid w:val="0077385C"/>
    <w:rsid w:val="00774304"/>
    <w:rsid w:val="00775D9C"/>
    <w:rsid w:val="00776669"/>
    <w:rsid w:val="007808D0"/>
    <w:rsid w:val="00781F93"/>
    <w:rsid w:val="0078292B"/>
    <w:rsid w:val="00782A29"/>
    <w:rsid w:val="00783145"/>
    <w:rsid w:val="007847DA"/>
    <w:rsid w:val="00784888"/>
    <w:rsid w:val="00784B1F"/>
    <w:rsid w:val="00786143"/>
    <w:rsid w:val="00786317"/>
    <w:rsid w:val="00786DC2"/>
    <w:rsid w:val="00787CD1"/>
    <w:rsid w:val="0079225C"/>
    <w:rsid w:val="0079304F"/>
    <w:rsid w:val="0079309B"/>
    <w:rsid w:val="00793182"/>
    <w:rsid w:val="00793238"/>
    <w:rsid w:val="007935C2"/>
    <w:rsid w:val="00793A54"/>
    <w:rsid w:val="0079499E"/>
    <w:rsid w:val="00795967"/>
    <w:rsid w:val="00795D7F"/>
    <w:rsid w:val="00796038"/>
    <w:rsid w:val="00796DB2"/>
    <w:rsid w:val="00796E89"/>
    <w:rsid w:val="007979BD"/>
    <w:rsid w:val="007A0DE4"/>
    <w:rsid w:val="007A0F86"/>
    <w:rsid w:val="007A1D4A"/>
    <w:rsid w:val="007A4E5E"/>
    <w:rsid w:val="007A5162"/>
    <w:rsid w:val="007A51D4"/>
    <w:rsid w:val="007A57A6"/>
    <w:rsid w:val="007A58BE"/>
    <w:rsid w:val="007A58E6"/>
    <w:rsid w:val="007A5ED2"/>
    <w:rsid w:val="007A610A"/>
    <w:rsid w:val="007A6180"/>
    <w:rsid w:val="007A6259"/>
    <w:rsid w:val="007A67DE"/>
    <w:rsid w:val="007A7A7C"/>
    <w:rsid w:val="007A7F6D"/>
    <w:rsid w:val="007B0379"/>
    <w:rsid w:val="007B181B"/>
    <w:rsid w:val="007B18A6"/>
    <w:rsid w:val="007B28F5"/>
    <w:rsid w:val="007B2FD7"/>
    <w:rsid w:val="007B3797"/>
    <w:rsid w:val="007B41F4"/>
    <w:rsid w:val="007B5205"/>
    <w:rsid w:val="007B5B94"/>
    <w:rsid w:val="007B6079"/>
    <w:rsid w:val="007B79C3"/>
    <w:rsid w:val="007C01F1"/>
    <w:rsid w:val="007C030A"/>
    <w:rsid w:val="007C0C5F"/>
    <w:rsid w:val="007C1928"/>
    <w:rsid w:val="007C2357"/>
    <w:rsid w:val="007C26B8"/>
    <w:rsid w:val="007C2EAE"/>
    <w:rsid w:val="007C321A"/>
    <w:rsid w:val="007C3709"/>
    <w:rsid w:val="007C396F"/>
    <w:rsid w:val="007C3BF5"/>
    <w:rsid w:val="007C44F8"/>
    <w:rsid w:val="007C4D28"/>
    <w:rsid w:val="007C55FF"/>
    <w:rsid w:val="007C5DD4"/>
    <w:rsid w:val="007C5F92"/>
    <w:rsid w:val="007C6249"/>
    <w:rsid w:val="007C72C3"/>
    <w:rsid w:val="007C7CA5"/>
    <w:rsid w:val="007C7D9A"/>
    <w:rsid w:val="007D00F6"/>
    <w:rsid w:val="007D02D0"/>
    <w:rsid w:val="007D1789"/>
    <w:rsid w:val="007D1B31"/>
    <w:rsid w:val="007D1BE4"/>
    <w:rsid w:val="007D21C1"/>
    <w:rsid w:val="007D2799"/>
    <w:rsid w:val="007D29C0"/>
    <w:rsid w:val="007D29D8"/>
    <w:rsid w:val="007D3312"/>
    <w:rsid w:val="007D47DE"/>
    <w:rsid w:val="007D49D0"/>
    <w:rsid w:val="007D4C4F"/>
    <w:rsid w:val="007D4F80"/>
    <w:rsid w:val="007D6819"/>
    <w:rsid w:val="007D6963"/>
    <w:rsid w:val="007D6AE1"/>
    <w:rsid w:val="007D6F14"/>
    <w:rsid w:val="007D702A"/>
    <w:rsid w:val="007D7CF8"/>
    <w:rsid w:val="007D7DA6"/>
    <w:rsid w:val="007E007A"/>
    <w:rsid w:val="007E24E9"/>
    <w:rsid w:val="007E25B5"/>
    <w:rsid w:val="007E2798"/>
    <w:rsid w:val="007E297D"/>
    <w:rsid w:val="007E36D1"/>
    <w:rsid w:val="007E3924"/>
    <w:rsid w:val="007E3E27"/>
    <w:rsid w:val="007E408C"/>
    <w:rsid w:val="007E4F4F"/>
    <w:rsid w:val="007E5103"/>
    <w:rsid w:val="007E5A63"/>
    <w:rsid w:val="007E6BDE"/>
    <w:rsid w:val="007E701B"/>
    <w:rsid w:val="007E71D9"/>
    <w:rsid w:val="007F0565"/>
    <w:rsid w:val="007F0845"/>
    <w:rsid w:val="007F0F64"/>
    <w:rsid w:val="007F217F"/>
    <w:rsid w:val="007F21DF"/>
    <w:rsid w:val="007F332B"/>
    <w:rsid w:val="007F3907"/>
    <w:rsid w:val="007F3FD0"/>
    <w:rsid w:val="007F55CD"/>
    <w:rsid w:val="007F7189"/>
    <w:rsid w:val="007F718F"/>
    <w:rsid w:val="00800753"/>
    <w:rsid w:val="00800E66"/>
    <w:rsid w:val="00800E93"/>
    <w:rsid w:val="00801C37"/>
    <w:rsid w:val="00802833"/>
    <w:rsid w:val="00802FAE"/>
    <w:rsid w:val="008040F4"/>
    <w:rsid w:val="0080417B"/>
    <w:rsid w:val="00804B76"/>
    <w:rsid w:val="00805C77"/>
    <w:rsid w:val="00805FDC"/>
    <w:rsid w:val="00806EB4"/>
    <w:rsid w:val="00807D85"/>
    <w:rsid w:val="00810724"/>
    <w:rsid w:val="00810F04"/>
    <w:rsid w:val="00811A0B"/>
    <w:rsid w:val="00813652"/>
    <w:rsid w:val="00813998"/>
    <w:rsid w:val="0081400E"/>
    <w:rsid w:val="008142E6"/>
    <w:rsid w:val="00814778"/>
    <w:rsid w:val="00814A43"/>
    <w:rsid w:val="00815341"/>
    <w:rsid w:val="00815532"/>
    <w:rsid w:val="00815DA2"/>
    <w:rsid w:val="008166D7"/>
    <w:rsid w:val="008178D3"/>
    <w:rsid w:val="008206AD"/>
    <w:rsid w:val="008207E5"/>
    <w:rsid w:val="00820D57"/>
    <w:rsid w:val="00820FC6"/>
    <w:rsid w:val="00821599"/>
    <w:rsid w:val="008216C0"/>
    <w:rsid w:val="0082181B"/>
    <w:rsid w:val="00821EDF"/>
    <w:rsid w:val="008221A8"/>
    <w:rsid w:val="00822212"/>
    <w:rsid w:val="008228B0"/>
    <w:rsid w:val="00823121"/>
    <w:rsid w:val="00824994"/>
    <w:rsid w:val="0082528C"/>
    <w:rsid w:val="00825EBA"/>
    <w:rsid w:val="00827BE7"/>
    <w:rsid w:val="00827E7A"/>
    <w:rsid w:val="008305C7"/>
    <w:rsid w:val="008308AA"/>
    <w:rsid w:val="00830A4C"/>
    <w:rsid w:val="00831C79"/>
    <w:rsid w:val="00832312"/>
    <w:rsid w:val="00832D76"/>
    <w:rsid w:val="00832E99"/>
    <w:rsid w:val="00835C1B"/>
    <w:rsid w:val="00835FE7"/>
    <w:rsid w:val="008364F7"/>
    <w:rsid w:val="008367D9"/>
    <w:rsid w:val="00836B2F"/>
    <w:rsid w:val="00837124"/>
    <w:rsid w:val="0083778A"/>
    <w:rsid w:val="00837CD8"/>
    <w:rsid w:val="00840475"/>
    <w:rsid w:val="00841870"/>
    <w:rsid w:val="00842656"/>
    <w:rsid w:val="00842A57"/>
    <w:rsid w:val="00842F99"/>
    <w:rsid w:val="0084315E"/>
    <w:rsid w:val="00843905"/>
    <w:rsid w:val="00844A22"/>
    <w:rsid w:val="00844B11"/>
    <w:rsid w:val="0084728E"/>
    <w:rsid w:val="0084738D"/>
    <w:rsid w:val="008475B7"/>
    <w:rsid w:val="00847FE5"/>
    <w:rsid w:val="0085018E"/>
    <w:rsid w:val="00851552"/>
    <w:rsid w:val="008520FE"/>
    <w:rsid w:val="008525F5"/>
    <w:rsid w:val="00852A5C"/>
    <w:rsid w:val="00852DE2"/>
    <w:rsid w:val="00853C7E"/>
    <w:rsid w:val="00854420"/>
    <w:rsid w:val="008544FD"/>
    <w:rsid w:val="008545BC"/>
    <w:rsid w:val="0085462A"/>
    <w:rsid w:val="00854DE1"/>
    <w:rsid w:val="00854E64"/>
    <w:rsid w:val="008555D0"/>
    <w:rsid w:val="00855AAE"/>
    <w:rsid w:val="00855E0E"/>
    <w:rsid w:val="0085647A"/>
    <w:rsid w:val="00856724"/>
    <w:rsid w:val="00857158"/>
    <w:rsid w:val="008573EC"/>
    <w:rsid w:val="008579CF"/>
    <w:rsid w:val="00860B59"/>
    <w:rsid w:val="00860CB8"/>
    <w:rsid w:val="008613BB"/>
    <w:rsid w:val="00861788"/>
    <w:rsid w:val="008620CB"/>
    <w:rsid w:val="00862B27"/>
    <w:rsid w:val="00862E01"/>
    <w:rsid w:val="0086361F"/>
    <w:rsid w:val="00863C37"/>
    <w:rsid w:val="008646CE"/>
    <w:rsid w:val="008646FC"/>
    <w:rsid w:val="008652A6"/>
    <w:rsid w:val="008653F0"/>
    <w:rsid w:val="008655F9"/>
    <w:rsid w:val="00865823"/>
    <w:rsid w:val="0086586A"/>
    <w:rsid w:val="00865C01"/>
    <w:rsid w:val="00865C9E"/>
    <w:rsid w:val="00865E95"/>
    <w:rsid w:val="008667B9"/>
    <w:rsid w:val="00866A67"/>
    <w:rsid w:val="00867398"/>
    <w:rsid w:val="008673D8"/>
    <w:rsid w:val="008709BE"/>
    <w:rsid w:val="00870C85"/>
    <w:rsid w:val="00870E8A"/>
    <w:rsid w:val="00870F06"/>
    <w:rsid w:val="00873160"/>
    <w:rsid w:val="008744FF"/>
    <w:rsid w:val="00874748"/>
    <w:rsid w:val="00875432"/>
    <w:rsid w:val="00875437"/>
    <w:rsid w:val="00876288"/>
    <w:rsid w:val="0087647D"/>
    <w:rsid w:val="00876508"/>
    <w:rsid w:val="00877039"/>
    <w:rsid w:val="008774D4"/>
    <w:rsid w:val="00877595"/>
    <w:rsid w:val="00877686"/>
    <w:rsid w:val="0087796A"/>
    <w:rsid w:val="00877F73"/>
    <w:rsid w:val="0088096A"/>
    <w:rsid w:val="00881161"/>
    <w:rsid w:val="008814FE"/>
    <w:rsid w:val="00881C7B"/>
    <w:rsid w:val="00881E9C"/>
    <w:rsid w:val="008826D8"/>
    <w:rsid w:val="008827D8"/>
    <w:rsid w:val="00882FC9"/>
    <w:rsid w:val="00883222"/>
    <w:rsid w:val="00883F50"/>
    <w:rsid w:val="008840E1"/>
    <w:rsid w:val="0088453B"/>
    <w:rsid w:val="00884DB8"/>
    <w:rsid w:val="00884E35"/>
    <w:rsid w:val="0088571B"/>
    <w:rsid w:val="008860D3"/>
    <w:rsid w:val="0088717C"/>
    <w:rsid w:val="008874EA"/>
    <w:rsid w:val="00887838"/>
    <w:rsid w:val="00890F90"/>
    <w:rsid w:val="00891A62"/>
    <w:rsid w:val="00891B08"/>
    <w:rsid w:val="008928BF"/>
    <w:rsid w:val="00893BB2"/>
    <w:rsid w:val="00893F19"/>
    <w:rsid w:val="00895052"/>
    <w:rsid w:val="0089555E"/>
    <w:rsid w:val="00895858"/>
    <w:rsid w:val="00895DBB"/>
    <w:rsid w:val="00896A8E"/>
    <w:rsid w:val="00897178"/>
    <w:rsid w:val="008971CB"/>
    <w:rsid w:val="008976C1"/>
    <w:rsid w:val="008A0675"/>
    <w:rsid w:val="008A0822"/>
    <w:rsid w:val="008A0A43"/>
    <w:rsid w:val="008A0C9A"/>
    <w:rsid w:val="008A1D63"/>
    <w:rsid w:val="008A2136"/>
    <w:rsid w:val="008A2274"/>
    <w:rsid w:val="008A2AA6"/>
    <w:rsid w:val="008A3076"/>
    <w:rsid w:val="008A3DDC"/>
    <w:rsid w:val="008A47B6"/>
    <w:rsid w:val="008A4D3E"/>
    <w:rsid w:val="008A5F37"/>
    <w:rsid w:val="008A61FD"/>
    <w:rsid w:val="008A660E"/>
    <w:rsid w:val="008A6C28"/>
    <w:rsid w:val="008A6E05"/>
    <w:rsid w:val="008B03E5"/>
    <w:rsid w:val="008B0FAD"/>
    <w:rsid w:val="008B116C"/>
    <w:rsid w:val="008B17A4"/>
    <w:rsid w:val="008B1FB2"/>
    <w:rsid w:val="008B23BB"/>
    <w:rsid w:val="008B24D3"/>
    <w:rsid w:val="008B262A"/>
    <w:rsid w:val="008B2E92"/>
    <w:rsid w:val="008B5347"/>
    <w:rsid w:val="008B596D"/>
    <w:rsid w:val="008B6B4A"/>
    <w:rsid w:val="008B707B"/>
    <w:rsid w:val="008C045F"/>
    <w:rsid w:val="008C0496"/>
    <w:rsid w:val="008C058D"/>
    <w:rsid w:val="008C06AE"/>
    <w:rsid w:val="008C0E15"/>
    <w:rsid w:val="008C1AE3"/>
    <w:rsid w:val="008C1BEC"/>
    <w:rsid w:val="008C263D"/>
    <w:rsid w:val="008C5643"/>
    <w:rsid w:val="008C595B"/>
    <w:rsid w:val="008C5C1D"/>
    <w:rsid w:val="008C6945"/>
    <w:rsid w:val="008C6B8E"/>
    <w:rsid w:val="008C7529"/>
    <w:rsid w:val="008C75C1"/>
    <w:rsid w:val="008C7F49"/>
    <w:rsid w:val="008D0A9F"/>
    <w:rsid w:val="008D0D1F"/>
    <w:rsid w:val="008D3347"/>
    <w:rsid w:val="008D3C38"/>
    <w:rsid w:val="008D48C0"/>
    <w:rsid w:val="008D569D"/>
    <w:rsid w:val="008D5880"/>
    <w:rsid w:val="008D7430"/>
    <w:rsid w:val="008D77A9"/>
    <w:rsid w:val="008E00BB"/>
    <w:rsid w:val="008E0F43"/>
    <w:rsid w:val="008E125A"/>
    <w:rsid w:val="008E1560"/>
    <w:rsid w:val="008E1681"/>
    <w:rsid w:val="008E22F9"/>
    <w:rsid w:val="008E3340"/>
    <w:rsid w:val="008E41B6"/>
    <w:rsid w:val="008E42D5"/>
    <w:rsid w:val="008E476B"/>
    <w:rsid w:val="008E483C"/>
    <w:rsid w:val="008E4A73"/>
    <w:rsid w:val="008E518F"/>
    <w:rsid w:val="008E525C"/>
    <w:rsid w:val="008E5629"/>
    <w:rsid w:val="008E588A"/>
    <w:rsid w:val="008E59CD"/>
    <w:rsid w:val="008E5AF7"/>
    <w:rsid w:val="008E5C4B"/>
    <w:rsid w:val="008E66D1"/>
    <w:rsid w:val="008E6D6E"/>
    <w:rsid w:val="008E72FB"/>
    <w:rsid w:val="008E75B6"/>
    <w:rsid w:val="008E7A3A"/>
    <w:rsid w:val="008F0151"/>
    <w:rsid w:val="008F0C50"/>
    <w:rsid w:val="008F1658"/>
    <w:rsid w:val="008F1823"/>
    <w:rsid w:val="008F1E0C"/>
    <w:rsid w:val="008F27D4"/>
    <w:rsid w:val="008F329B"/>
    <w:rsid w:val="008F3E64"/>
    <w:rsid w:val="008F4464"/>
    <w:rsid w:val="008F462B"/>
    <w:rsid w:val="008F4924"/>
    <w:rsid w:val="008F550D"/>
    <w:rsid w:val="008F5E7A"/>
    <w:rsid w:val="008F6362"/>
    <w:rsid w:val="008F6426"/>
    <w:rsid w:val="008F74B4"/>
    <w:rsid w:val="008F7614"/>
    <w:rsid w:val="009013E3"/>
    <w:rsid w:val="0090265D"/>
    <w:rsid w:val="00903CA5"/>
    <w:rsid w:val="00903D2C"/>
    <w:rsid w:val="00904B5E"/>
    <w:rsid w:val="00905358"/>
    <w:rsid w:val="00905FA1"/>
    <w:rsid w:val="0090652E"/>
    <w:rsid w:val="00907168"/>
    <w:rsid w:val="00907652"/>
    <w:rsid w:val="00907717"/>
    <w:rsid w:val="00910154"/>
    <w:rsid w:val="00911CBD"/>
    <w:rsid w:val="00911F93"/>
    <w:rsid w:val="00912260"/>
    <w:rsid w:val="00913063"/>
    <w:rsid w:val="0091356E"/>
    <w:rsid w:val="009136D7"/>
    <w:rsid w:val="0091378D"/>
    <w:rsid w:val="0091549C"/>
    <w:rsid w:val="00915AE1"/>
    <w:rsid w:val="009164D9"/>
    <w:rsid w:val="00917689"/>
    <w:rsid w:val="00921033"/>
    <w:rsid w:val="00921869"/>
    <w:rsid w:val="009226B4"/>
    <w:rsid w:val="00922C23"/>
    <w:rsid w:val="009237D2"/>
    <w:rsid w:val="00923BA5"/>
    <w:rsid w:val="00923CE7"/>
    <w:rsid w:val="00923D52"/>
    <w:rsid w:val="00924203"/>
    <w:rsid w:val="0092483B"/>
    <w:rsid w:val="009261E6"/>
    <w:rsid w:val="0092705D"/>
    <w:rsid w:val="00927D1B"/>
    <w:rsid w:val="0093011B"/>
    <w:rsid w:val="009304CF"/>
    <w:rsid w:val="00930CF7"/>
    <w:rsid w:val="009311DF"/>
    <w:rsid w:val="009328EA"/>
    <w:rsid w:val="0093352C"/>
    <w:rsid w:val="00933F05"/>
    <w:rsid w:val="009351F8"/>
    <w:rsid w:val="00935BAF"/>
    <w:rsid w:val="00936175"/>
    <w:rsid w:val="009365C6"/>
    <w:rsid w:val="00940831"/>
    <w:rsid w:val="00941823"/>
    <w:rsid w:val="00941F3B"/>
    <w:rsid w:val="009429C2"/>
    <w:rsid w:val="00942D82"/>
    <w:rsid w:val="00943208"/>
    <w:rsid w:val="00943379"/>
    <w:rsid w:val="009446CB"/>
    <w:rsid w:val="00944B25"/>
    <w:rsid w:val="00944D7B"/>
    <w:rsid w:val="009450E5"/>
    <w:rsid w:val="00945B93"/>
    <w:rsid w:val="00945DF7"/>
    <w:rsid w:val="0094633A"/>
    <w:rsid w:val="00946D73"/>
    <w:rsid w:val="00946DF6"/>
    <w:rsid w:val="00947D7C"/>
    <w:rsid w:val="0095031B"/>
    <w:rsid w:val="0095139F"/>
    <w:rsid w:val="009514F0"/>
    <w:rsid w:val="00951737"/>
    <w:rsid w:val="0095197C"/>
    <w:rsid w:val="009520A0"/>
    <w:rsid w:val="009528CA"/>
    <w:rsid w:val="009535DE"/>
    <w:rsid w:val="009542E6"/>
    <w:rsid w:val="00955068"/>
    <w:rsid w:val="00955E90"/>
    <w:rsid w:val="009564EB"/>
    <w:rsid w:val="00957032"/>
    <w:rsid w:val="00957457"/>
    <w:rsid w:val="00957DFF"/>
    <w:rsid w:val="00963276"/>
    <w:rsid w:val="0096376A"/>
    <w:rsid w:val="00963A8A"/>
    <w:rsid w:val="00963F2B"/>
    <w:rsid w:val="00964911"/>
    <w:rsid w:val="00964AF9"/>
    <w:rsid w:val="009651B9"/>
    <w:rsid w:val="00965C54"/>
    <w:rsid w:val="009663F7"/>
    <w:rsid w:val="00966C32"/>
    <w:rsid w:val="00966DBC"/>
    <w:rsid w:val="00967642"/>
    <w:rsid w:val="00967830"/>
    <w:rsid w:val="00970804"/>
    <w:rsid w:val="00970A2F"/>
    <w:rsid w:val="009724D6"/>
    <w:rsid w:val="0097250F"/>
    <w:rsid w:val="00972CBC"/>
    <w:rsid w:val="00972E9E"/>
    <w:rsid w:val="00973782"/>
    <w:rsid w:val="00973969"/>
    <w:rsid w:val="0097441C"/>
    <w:rsid w:val="0097455B"/>
    <w:rsid w:val="00974BC5"/>
    <w:rsid w:val="00975104"/>
    <w:rsid w:val="0097540A"/>
    <w:rsid w:val="009754CA"/>
    <w:rsid w:val="00975C75"/>
    <w:rsid w:val="00975E37"/>
    <w:rsid w:val="009763A3"/>
    <w:rsid w:val="009771CF"/>
    <w:rsid w:val="0097783F"/>
    <w:rsid w:val="009809C2"/>
    <w:rsid w:val="009810D0"/>
    <w:rsid w:val="00981EA8"/>
    <w:rsid w:val="00981F63"/>
    <w:rsid w:val="00981FB1"/>
    <w:rsid w:val="009821A2"/>
    <w:rsid w:val="00983138"/>
    <w:rsid w:val="00984625"/>
    <w:rsid w:val="0098591E"/>
    <w:rsid w:val="00987543"/>
    <w:rsid w:val="00987683"/>
    <w:rsid w:val="00987DB5"/>
    <w:rsid w:val="0099066D"/>
    <w:rsid w:val="00990F1B"/>
    <w:rsid w:val="009924F4"/>
    <w:rsid w:val="00992E4B"/>
    <w:rsid w:val="00993328"/>
    <w:rsid w:val="009935E5"/>
    <w:rsid w:val="00993C7C"/>
    <w:rsid w:val="009946C4"/>
    <w:rsid w:val="00995C8C"/>
    <w:rsid w:val="009968F7"/>
    <w:rsid w:val="00996EB7"/>
    <w:rsid w:val="00997797"/>
    <w:rsid w:val="00997C7C"/>
    <w:rsid w:val="009A009D"/>
    <w:rsid w:val="009A075C"/>
    <w:rsid w:val="009A0B81"/>
    <w:rsid w:val="009A16EC"/>
    <w:rsid w:val="009A1865"/>
    <w:rsid w:val="009A2CFF"/>
    <w:rsid w:val="009A3138"/>
    <w:rsid w:val="009A4230"/>
    <w:rsid w:val="009A44F0"/>
    <w:rsid w:val="009A485F"/>
    <w:rsid w:val="009A5281"/>
    <w:rsid w:val="009A5A00"/>
    <w:rsid w:val="009A5D12"/>
    <w:rsid w:val="009A5DFB"/>
    <w:rsid w:val="009B0233"/>
    <w:rsid w:val="009B0C1F"/>
    <w:rsid w:val="009B1FB4"/>
    <w:rsid w:val="009B2948"/>
    <w:rsid w:val="009B2C1C"/>
    <w:rsid w:val="009B3621"/>
    <w:rsid w:val="009B37B0"/>
    <w:rsid w:val="009B49B9"/>
    <w:rsid w:val="009B4A95"/>
    <w:rsid w:val="009B4E2A"/>
    <w:rsid w:val="009B5F52"/>
    <w:rsid w:val="009B6C98"/>
    <w:rsid w:val="009B7E99"/>
    <w:rsid w:val="009B7EC8"/>
    <w:rsid w:val="009C0140"/>
    <w:rsid w:val="009C157E"/>
    <w:rsid w:val="009C159B"/>
    <w:rsid w:val="009C1C27"/>
    <w:rsid w:val="009C1D23"/>
    <w:rsid w:val="009C1D3C"/>
    <w:rsid w:val="009C1FD9"/>
    <w:rsid w:val="009C1FE2"/>
    <w:rsid w:val="009C3307"/>
    <w:rsid w:val="009C3DF1"/>
    <w:rsid w:val="009C4132"/>
    <w:rsid w:val="009C4179"/>
    <w:rsid w:val="009C46CE"/>
    <w:rsid w:val="009C472A"/>
    <w:rsid w:val="009C54F9"/>
    <w:rsid w:val="009C5AD7"/>
    <w:rsid w:val="009C6F99"/>
    <w:rsid w:val="009C7CFB"/>
    <w:rsid w:val="009D1787"/>
    <w:rsid w:val="009D1EB2"/>
    <w:rsid w:val="009D246E"/>
    <w:rsid w:val="009D2B37"/>
    <w:rsid w:val="009D359F"/>
    <w:rsid w:val="009D35EB"/>
    <w:rsid w:val="009D4CC5"/>
    <w:rsid w:val="009D5786"/>
    <w:rsid w:val="009D5B33"/>
    <w:rsid w:val="009D63E1"/>
    <w:rsid w:val="009D6D5E"/>
    <w:rsid w:val="009D74CB"/>
    <w:rsid w:val="009D7AF3"/>
    <w:rsid w:val="009E08D0"/>
    <w:rsid w:val="009E0B62"/>
    <w:rsid w:val="009E0DE4"/>
    <w:rsid w:val="009E1F8F"/>
    <w:rsid w:val="009E27B2"/>
    <w:rsid w:val="009E4049"/>
    <w:rsid w:val="009E46FD"/>
    <w:rsid w:val="009E68CB"/>
    <w:rsid w:val="009E74C7"/>
    <w:rsid w:val="009E7D81"/>
    <w:rsid w:val="009F15CF"/>
    <w:rsid w:val="009F1780"/>
    <w:rsid w:val="009F1DE1"/>
    <w:rsid w:val="009F2204"/>
    <w:rsid w:val="009F2E8A"/>
    <w:rsid w:val="009F320B"/>
    <w:rsid w:val="009F333D"/>
    <w:rsid w:val="009F37A0"/>
    <w:rsid w:val="009F3E61"/>
    <w:rsid w:val="009F4416"/>
    <w:rsid w:val="009F55C8"/>
    <w:rsid w:val="009F5C3C"/>
    <w:rsid w:val="00A0001D"/>
    <w:rsid w:val="00A00DE8"/>
    <w:rsid w:val="00A011DF"/>
    <w:rsid w:val="00A01A36"/>
    <w:rsid w:val="00A026FA"/>
    <w:rsid w:val="00A028F7"/>
    <w:rsid w:val="00A05C1A"/>
    <w:rsid w:val="00A06B25"/>
    <w:rsid w:val="00A07539"/>
    <w:rsid w:val="00A079A4"/>
    <w:rsid w:val="00A10E1F"/>
    <w:rsid w:val="00A110FF"/>
    <w:rsid w:val="00A11B5F"/>
    <w:rsid w:val="00A11FC8"/>
    <w:rsid w:val="00A1302D"/>
    <w:rsid w:val="00A13D9F"/>
    <w:rsid w:val="00A14E90"/>
    <w:rsid w:val="00A167E9"/>
    <w:rsid w:val="00A17D04"/>
    <w:rsid w:val="00A20183"/>
    <w:rsid w:val="00A204A4"/>
    <w:rsid w:val="00A21B02"/>
    <w:rsid w:val="00A22353"/>
    <w:rsid w:val="00A22DD7"/>
    <w:rsid w:val="00A23156"/>
    <w:rsid w:val="00A231D4"/>
    <w:rsid w:val="00A23AE8"/>
    <w:rsid w:val="00A24C9B"/>
    <w:rsid w:val="00A257B7"/>
    <w:rsid w:val="00A25C8D"/>
    <w:rsid w:val="00A26835"/>
    <w:rsid w:val="00A272DF"/>
    <w:rsid w:val="00A2741F"/>
    <w:rsid w:val="00A3033B"/>
    <w:rsid w:val="00A30C96"/>
    <w:rsid w:val="00A31209"/>
    <w:rsid w:val="00A313C6"/>
    <w:rsid w:val="00A31DB9"/>
    <w:rsid w:val="00A32187"/>
    <w:rsid w:val="00A327B8"/>
    <w:rsid w:val="00A33400"/>
    <w:rsid w:val="00A33ABD"/>
    <w:rsid w:val="00A341B9"/>
    <w:rsid w:val="00A35BB1"/>
    <w:rsid w:val="00A35C82"/>
    <w:rsid w:val="00A3659E"/>
    <w:rsid w:val="00A37308"/>
    <w:rsid w:val="00A40863"/>
    <w:rsid w:val="00A41843"/>
    <w:rsid w:val="00A41F0B"/>
    <w:rsid w:val="00A4228D"/>
    <w:rsid w:val="00A42ADA"/>
    <w:rsid w:val="00A42EC2"/>
    <w:rsid w:val="00A42FF4"/>
    <w:rsid w:val="00A443A0"/>
    <w:rsid w:val="00A448A3"/>
    <w:rsid w:val="00A45360"/>
    <w:rsid w:val="00A45806"/>
    <w:rsid w:val="00A461D3"/>
    <w:rsid w:val="00A477A3"/>
    <w:rsid w:val="00A50940"/>
    <w:rsid w:val="00A50D9E"/>
    <w:rsid w:val="00A51AA1"/>
    <w:rsid w:val="00A51B68"/>
    <w:rsid w:val="00A51BC6"/>
    <w:rsid w:val="00A51C53"/>
    <w:rsid w:val="00A526E1"/>
    <w:rsid w:val="00A52949"/>
    <w:rsid w:val="00A52BBA"/>
    <w:rsid w:val="00A5310B"/>
    <w:rsid w:val="00A54518"/>
    <w:rsid w:val="00A54712"/>
    <w:rsid w:val="00A54B1E"/>
    <w:rsid w:val="00A55127"/>
    <w:rsid w:val="00A554EA"/>
    <w:rsid w:val="00A57ED6"/>
    <w:rsid w:val="00A6075F"/>
    <w:rsid w:val="00A60AB9"/>
    <w:rsid w:val="00A60FF2"/>
    <w:rsid w:val="00A61633"/>
    <w:rsid w:val="00A61ABF"/>
    <w:rsid w:val="00A61D1E"/>
    <w:rsid w:val="00A62B57"/>
    <w:rsid w:val="00A63E13"/>
    <w:rsid w:val="00A63E53"/>
    <w:rsid w:val="00A64F45"/>
    <w:rsid w:val="00A65463"/>
    <w:rsid w:val="00A657B6"/>
    <w:rsid w:val="00A661DF"/>
    <w:rsid w:val="00A6677D"/>
    <w:rsid w:val="00A66C4C"/>
    <w:rsid w:val="00A6737D"/>
    <w:rsid w:val="00A67992"/>
    <w:rsid w:val="00A67A98"/>
    <w:rsid w:val="00A706A1"/>
    <w:rsid w:val="00A70ABA"/>
    <w:rsid w:val="00A70ADA"/>
    <w:rsid w:val="00A7163C"/>
    <w:rsid w:val="00A72098"/>
    <w:rsid w:val="00A72236"/>
    <w:rsid w:val="00A722E1"/>
    <w:rsid w:val="00A74056"/>
    <w:rsid w:val="00A746E6"/>
    <w:rsid w:val="00A74714"/>
    <w:rsid w:val="00A756A0"/>
    <w:rsid w:val="00A761CB"/>
    <w:rsid w:val="00A76AE8"/>
    <w:rsid w:val="00A76C89"/>
    <w:rsid w:val="00A77BDF"/>
    <w:rsid w:val="00A815AA"/>
    <w:rsid w:val="00A815C8"/>
    <w:rsid w:val="00A81904"/>
    <w:rsid w:val="00A81EBC"/>
    <w:rsid w:val="00A82521"/>
    <w:rsid w:val="00A825A0"/>
    <w:rsid w:val="00A8298C"/>
    <w:rsid w:val="00A82AC5"/>
    <w:rsid w:val="00A82B92"/>
    <w:rsid w:val="00A8311B"/>
    <w:rsid w:val="00A83E52"/>
    <w:rsid w:val="00A840E2"/>
    <w:rsid w:val="00A842CD"/>
    <w:rsid w:val="00A84EDF"/>
    <w:rsid w:val="00A84F84"/>
    <w:rsid w:val="00A85D87"/>
    <w:rsid w:val="00A868A3"/>
    <w:rsid w:val="00A86944"/>
    <w:rsid w:val="00A8728B"/>
    <w:rsid w:val="00A8789F"/>
    <w:rsid w:val="00A90842"/>
    <w:rsid w:val="00A90B13"/>
    <w:rsid w:val="00A90B92"/>
    <w:rsid w:val="00A90DB7"/>
    <w:rsid w:val="00A911D6"/>
    <w:rsid w:val="00A9169D"/>
    <w:rsid w:val="00A91AE8"/>
    <w:rsid w:val="00A9365C"/>
    <w:rsid w:val="00A941A2"/>
    <w:rsid w:val="00A95BCD"/>
    <w:rsid w:val="00A961E3"/>
    <w:rsid w:val="00A96574"/>
    <w:rsid w:val="00A96DE8"/>
    <w:rsid w:val="00A979D7"/>
    <w:rsid w:val="00A97D01"/>
    <w:rsid w:val="00AA1BC2"/>
    <w:rsid w:val="00AA1EB9"/>
    <w:rsid w:val="00AA2C98"/>
    <w:rsid w:val="00AA3FE9"/>
    <w:rsid w:val="00AA4AC0"/>
    <w:rsid w:val="00AA6832"/>
    <w:rsid w:val="00AA6922"/>
    <w:rsid w:val="00AA6AB4"/>
    <w:rsid w:val="00AA76CA"/>
    <w:rsid w:val="00AB0164"/>
    <w:rsid w:val="00AB0E71"/>
    <w:rsid w:val="00AB0ED0"/>
    <w:rsid w:val="00AB1BC8"/>
    <w:rsid w:val="00AB1DE0"/>
    <w:rsid w:val="00AB225B"/>
    <w:rsid w:val="00AB2D8A"/>
    <w:rsid w:val="00AB2F25"/>
    <w:rsid w:val="00AB4ACE"/>
    <w:rsid w:val="00AB6258"/>
    <w:rsid w:val="00AB62BF"/>
    <w:rsid w:val="00AB635E"/>
    <w:rsid w:val="00AB65E1"/>
    <w:rsid w:val="00AB748E"/>
    <w:rsid w:val="00AB7DAC"/>
    <w:rsid w:val="00AB7E25"/>
    <w:rsid w:val="00AC002F"/>
    <w:rsid w:val="00AC020D"/>
    <w:rsid w:val="00AC0699"/>
    <w:rsid w:val="00AC0DB8"/>
    <w:rsid w:val="00AC10B0"/>
    <w:rsid w:val="00AC1ABC"/>
    <w:rsid w:val="00AC22B4"/>
    <w:rsid w:val="00AC2B6D"/>
    <w:rsid w:val="00AC2D89"/>
    <w:rsid w:val="00AC36CC"/>
    <w:rsid w:val="00AC3B3B"/>
    <w:rsid w:val="00AC3BFC"/>
    <w:rsid w:val="00AC3EBF"/>
    <w:rsid w:val="00AC417B"/>
    <w:rsid w:val="00AC51ED"/>
    <w:rsid w:val="00AC5989"/>
    <w:rsid w:val="00AC63D0"/>
    <w:rsid w:val="00AD0B5D"/>
    <w:rsid w:val="00AD0F32"/>
    <w:rsid w:val="00AD1C55"/>
    <w:rsid w:val="00AD30DF"/>
    <w:rsid w:val="00AD348C"/>
    <w:rsid w:val="00AD4600"/>
    <w:rsid w:val="00AD53E7"/>
    <w:rsid w:val="00AD5CD0"/>
    <w:rsid w:val="00AD67F0"/>
    <w:rsid w:val="00AD6A11"/>
    <w:rsid w:val="00AD6A55"/>
    <w:rsid w:val="00AD6BBD"/>
    <w:rsid w:val="00AD7CE5"/>
    <w:rsid w:val="00AD7DDC"/>
    <w:rsid w:val="00AE0206"/>
    <w:rsid w:val="00AE09BF"/>
    <w:rsid w:val="00AE0E14"/>
    <w:rsid w:val="00AE1158"/>
    <w:rsid w:val="00AE13BC"/>
    <w:rsid w:val="00AE1820"/>
    <w:rsid w:val="00AE1AF5"/>
    <w:rsid w:val="00AE23CB"/>
    <w:rsid w:val="00AE383A"/>
    <w:rsid w:val="00AE48E4"/>
    <w:rsid w:val="00AE4CC8"/>
    <w:rsid w:val="00AE5076"/>
    <w:rsid w:val="00AE512B"/>
    <w:rsid w:val="00AE52C6"/>
    <w:rsid w:val="00AE5353"/>
    <w:rsid w:val="00AE5E18"/>
    <w:rsid w:val="00AE6EB3"/>
    <w:rsid w:val="00AE747C"/>
    <w:rsid w:val="00AE7A9D"/>
    <w:rsid w:val="00AE7D72"/>
    <w:rsid w:val="00AF0A12"/>
    <w:rsid w:val="00AF0C2F"/>
    <w:rsid w:val="00AF245E"/>
    <w:rsid w:val="00AF3B1A"/>
    <w:rsid w:val="00AF40B5"/>
    <w:rsid w:val="00AF44ED"/>
    <w:rsid w:val="00AF4E3B"/>
    <w:rsid w:val="00AF5110"/>
    <w:rsid w:val="00AF58F2"/>
    <w:rsid w:val="00AF59FC"/>
    <w:rsid w:val="00AF6831"/>
    <w:rsid w:val="00AF6845"/>
    <w:rsid w:val="00AF6C6E"/>
    <w:rsid w:val="00AF6F36"/>
    <w:rsid w:val="00AF7376"/>
    <w:rsid w:val="00AF7391"/>
    <w:rsid w:val="00AF7575"/>
    <w:rsid w:val="00AF7576"/>
    <w:rsid w:val="00B00135"/>
    <w:rsid w:val="00B00567"/>
    <w:rsid w:val="00B0152F"/>
    <w:rsid w:val="00B0364E"/>
    <w:rsid w:val="00B04FF2"/>
    <w:rsid w:val="00B0559F"/>
    <w:rsid w:val="00B0605E"/>
    <w:rsid w:val="00B0672B"/>
    <w:rsid w:val="00B06C3A"/>
    <w:rsid w:val="00B075EA"/>
    <w:rsid w:val="00B07B8E"/>
    <w:rsid w:val="00B1088A"/>
    <w:rsid w:val="00B124FC"/>
    <w:rsid w:val="00B129DC"/>
    <w:rsid w:val="00B12C1A"/>
    <w:rsid w:val="00B12C9A"/>
    <w:rsid w:val="00B12D3A"/>
    <w:rsid w:val="00B12E9F"/>
    <w:rsid w:val="00B1338B"/>
    <w:rsid w:val="00B137B2"/>
    <w:rsid w:val="00B13FFA"/>
    <w:rsid w:val="00B14B59"/>
    <w:rsid w:val="00B1607C"/>
    <w:rsid w:val="00B16D94"/>
    <w:rsid w:val="00B17553"/>
    <w:rsid w:val="00B17621"/>
    <w:rsid w:val="00B178C3"/>
    <w:rsid w:val="00B17F03"/>
    <w:rsid w:val="00B20D89"/>
    <w:rsid w:val="00B21003"/>
    <w:rsid w:val="00B214BB"/>
    <w:rsid w:val="00B215B3"/>
    <w:rsid w:val="00B22329"/>
    <w:rsid w:val="00B22375"/>
    <w:rsid w:val="00B22C61"/>
    <w:rsid w:val="00B22D47"/>
    <w:rsid w:val="00B236C8"/>
    <w:rsid w:val="00B2492D"/>
    <w:rsid w:val="00B25608"/>
    <w:rsid w:val="00B25735"/>
    <w:rsid w:val="00B26F13"/>
    <w:rsid w:val="00B27930"/>
    <w:rsid w:val="00B30A33"/>
    <w:rsid w:val="00B30A74"/>
    <w:rsid w:val="00B30BB7"/>
    <w:rsid w:val="00B31740"/>
    <w:rsid w:val="00B3251C"/>
    <w:rsid w:val="00B337E5"/>
    <w:rsid w:val="00B34012"/>
    <w:rsid w:val="00B3534C"/>
    <w:rsid w:val="00B35763"/>
    <w:rsid w:val="00B35E0D"/>
    <w:rsid w:val="00B405EE"/>
    <w:rsid w:val="00B40F71"/>
    <w:rsid w:val="00B412C1"/>
    <w:rsid w:val="00B415DA"/>
    <w:rsid w:val="00B419BF"/>
    <w:rsid w:val="00B41D5D"/>
    <w:rsid w:val="00B428EB"/>
    <w:rsid w:val="00B4310D"/>
    <w:rsid w:val="00B4390A"/>
    <w:rsid w:val="00B4393F"/>
    <w:rsid w:val="00B441D7"/>
    <w:rsid w:val="00B45309"/>
    <w:rsid w:val="00B456BA"/>
    <w:rsid w:val="00B4600A"/>
    <w:rsid w:val="00B46093"/>
    <w:rsid w:val="00B4614F"/>
    <w:rsid w:val="00B463FE"/>
    <w:rsid w:val="00B465B2"/>
    <w:rsid w:val="00B46FC9"/>
    <w:rsid w:val="00B476F8"/>
    <w:rsid w:val="00B477CD"/>
    <w:rsid w:val="00B501AD"/>
    <w:rsid w:val="00B50350"/>
    <w:rsid w:val="00B5040C"/>
    <w:rsid w:val="00B518E2"/>
    <w:rsid w:val="00B52FDC"/>
    <w:rsid w:val="00B54E89"/>
    <w:rsid w:val="00B554B2"/>
    <w:rsid w:val="00B5597D"/>
    <w:rsid w:val="00B55F41"/>
    <w:rsid w:val="00B56A29"/>
    <w:rsid w:val="00B56F88"/>
    <w:rsid w:val="00B6022E"/>
    <w:rsid w:val="00B603E0"/>
    <w:rsid w:val="00B6111C"/>
    <w:rsid w:val="00B61272"/>
    <w:rsid w:val="00B618DF"/>
    <w:rsid w:val="00B6297B"/>
    <w:rsid w:val="00B62B97"/>
    <w:rsid w:val="00B62EB1"/>
    <w:rsid w:val="00B633B9"/>
    <w:rsid w:val="00B63501"/>
    <w:rsid w:val="00B63CED"/>
    <w:rsid w:val="00B63F23"/>
    <w:rsid w:val="00B64951"/>
    <w:rsid w:val="00B64F7D"/>
    <w:rsid w:val="00B6535B"/>
    <w:rsid w:val="00B665DE"/>
    <w:rsid w:val="00B673C7"/>
    <w:rsid w:val="00B67900"/>
    <w:rsid w:val="00B67B7B"/>
    <w:rsid w:val="00B67F17"/>
    <w:rsid w:val="00B70E25"/>
    <w:rsid w:val="00B7179E"/>
    <w:rsid w:val="00B71D31"/>
    <w:rsid w:val="00B72189"/>
    <w:rsid w:val="00B728E1"/>
    <w:rsid w:val="00B72924"/>
    <w:rsid w:val="00B731FE"/>
    <w:rsid w:val="00B734C3"/>
    <w:rsid w:val="00B74BD1"/>
    <w:rsid w:val="00B75B5D"/>
    <w:rsid w:val="00B75BD8"/>
    <w:rsid w:val="00B76035"/>
    <w:rsid w:val="00B7603C"/>
    <w:rsid w:val="00B764EF"/>
    <w:rsid w:val="00B77742"/>
    <w:rsid w:val="00B779F6"/>
    <w:rsid w:val="00B80014"/>
    <w:rsid w:val="00B801D4"/>
    <w:rsid w:val="00B80990"/>
    <w:rsid w:val="00B8263F"/>
    <w:rsid w:val="00B827A0"/>
    <w:rsid w:val="00B837C4"/>
    <w:rsid w:val="00B83825"/>
    <w:rsid w:val="00B83E9E"/>
    <w:rsid w:val="00B83F14"/>
    <w:rsid w:val="00B845A6"/>
    <w:rsid w:val="00B8481E"/>
    <w:rsid w:val="00B859DD"/>
    <w:rsid w:val="00B87905"/>
    <w:rsid w:val="00B90924"/>
    <w:rsid w:val="00B92A15"/>
    <w:rsid w:val="00B92C0D"/>
    <w:rsid w:val="00B937B9"/>
    <w:rsid w:val="00B93D61"/>
    <w:rsid w:val="00B93D73"/>
    <w:rsid w:val="00B93EC0"/>
    <w:rsid w:val="00B94B30"/>
    <w:rsid w:val="00B96B60"/>
    <w:rsid w:val="00B96C60"/>
    <w:rsid w:val="00B97D2A"/>
    <w:rsid w:val="00BA13BD"/>
    <w:rsid w:val="00BA1BD9"/>
    <w:rsid w:val="00BA212A"/>
    <w:rsid w:val="00BA225C"/>
    <w:rsid w:val="00BA2E10"/>
    <w:rsid w:val="00BA31D2"/>
    <w:rsid w:val="00BA3A9C"/>
    <w:rsid w:val="00BA42C2"/>
    <w:rsid w:val="00BA4860"/>
    <w:rsid w:val="00BA5889"/>
    <w:rsid w:val="00BA58CA"/>
    <w:rsid w:val="00BA5A3F"/>
    <w:rsid w:val="00BA5CB5"/>
    <w:rsid w:val="00BA5EED"/>
    <w:rsid w:val="00BA664F"/>
    <w:rsid w:val="00BB0350"/>
    <w:rsid w:val="00BB195A"/>
    <w:rsid w:val="00BB30C8"/>
    <w:rsid w:val="00BB3D04"/>
    <w:rsid w:val="00BB4840"/>
    <w:rsid w:val="00BB4DE5"/>
    <w:rsid w:val="00BB5CA6"/>
    <w:rsid w:val="00BB7633"/>
    <w:rsid w:val="00BC0A77"/>
    <w:rsid w:val="00BC1FC2"/>
    <w:rsid w:val="00BC239A"/>
    <w:rsid w:val="00BC2548"/>
    <w:rsid w:val="00BC365C"/>
    <w:rsid w:val="00BC3EC4"/>
    <w:rsid w:val="00BC4839"/>
    <w:rsid w:val="00BC4E52"/>
    <w:rsid w:val="00BC4E75"/>
    <w:rsid w:val="00BC5063"/>
    <w:rsid w:val="00BC5206"/>
    <w:rsid w:val="00BC5A8E"/>
    <w:rsid w:val="00BC5ABD"/>
    <w:rsid w:val="00BC5AEE"/>
    <w:rsid w:val="00BC66C2"/>
    <w:rsid w:val="00BC71F0"/>
    <w:rsid w:val="00BC754B"/>
    <w:rsid w:val="00BC7E1D"/>
    <w:rsid w:val="00BD01D6"/>
    <w:rsid w:val="00BD073C"/>
    <w:rsid w:val="00BD184F"/>
    <w:rsid w:val="00BD1AC9"/>
    <w:rsid w:val="00BD200A"/>
    <w:rsid w:val="00BD3DD9"/>
    <w:rsid w:val="00BD491C"/>
    <w:rsid w:val="00BD49C6"/>
    <w:rsid w:val="00BD73A6"/>
    <w:rsid w:val="00BD7BD3"/>
    <w:rsid w:val="00BE043F"/>
    <w:rsid w:val="00BE1B6B"/>
    <w:rsid w:val="00BE1D0E"/>
    <w:rsid w:val="00BE245A"/>
    <w:rsid w:val="00BE3FB2"/>
    <w:rsid w:val="00BE5987"/>
    <w:rsid w:val="00BE654F"/>
    <w:rsid w:val="00BE6C8B"/>
    <w:rsid w:val="00BE7B31"/>
    <w:rsid w:val="00BF00A1"/>
    <w:rsid w:val="00BF05A1"/>
    <w:rsid w:val="00BF0687"/>
    <w:rsid w:val="00BF1A2D"/>
    <w:rsid w:val="00BF1BEC"/>
    <w:rsid w:val="00BF2AC8"/>
    <w:rsid w:val="00BF2E1A"/>
    <w:rsid w:val="00BF2FCD"/>
    <w:rsid w:val="00BF30D1"/>
    <w:rsid w:val="00BF3BE7"/>
    <w:rsid w:val="00BF3CE7"/>
    <w:rsid w:val="00BF4610"/>
    <w:rsid w:val="00BF4B67"/>
    <w:rsid w:val="00BF5394"/>
    <w:rsid w:val="00BF53E4"/>
    <w:rsid w:val="00BF5CE0"/>
    <w:rsid w:val="00BF6FEC"/>
    <w:rsid w:val="00BF778A"/>
    <w:rsid w:val="00BF79F1"/>
    <w:rsid w:val="00BF7DC0"/>
    <w:rsid w:val="00C005EB"/>
    <w:rsid w:val="00C0060F"/>
    <w:rsid w:val="00C00B97"/>
    <w:rsid w:val="00C00BE0"/>
    <w:rsid w:val="00C01FED"/>
    <w:rsid w:val="00C021EF"/>
    <w:rsid w:val="00C02BAB"/>
    <w:rsid w:val="00C02DF4"/>
    <w:rsid w:val="00C03AD3"/>
    <w:rsid w:val="00C044A2"/>
    <w:rsid w:val="00C055D5"/>
    <w:rsid w:val="00C05820"/>
    <w:rsid w:val="00C0634D"/>
    <w:rsid w:val="00C064F8"/>
    <w:rsid w:val="00C07098"/>
    <w:rsid w:val="00C076E2"/>
    <w:rsid w:val="00C07B14"/>
    <w:rsid w:val="00C07DF5"/>
    <w:rsid w:val="00C07E39"/>
    <w:rsid w:val="00C101B0"/>
    <w:rsid w:val="00C10A16"/>
    <w:rsid w:val="00C121D4"/>
    <w:rsid w:val="00C141F2"/>
    <w:rsid w:val="00C152E0"/>
    <w:rsid w:val="00C1647A"/>
    <w:rsid w:val="00C1798E"/>
    <w:rsid w:val="00C2054C"/>
    <w:rsid w:val="00C20E00"/>
    <w:rsid w:val="00C225BC"/>
    <w:rsid w:val="00C22D52"/>
    <w:rsid w:val="00C2340E"/>
    <w:rsid w:val="00C23926"/>
    <w:rsid w:val="00C25515"/>
    <w:rsid w:val="00C25BE7"/>
    <w:rsid w:val="00C25FD7"/>
    <w:rsid w:val="00C2614D"/>
    <w:rsid w:val="00C27C94"/>
    <w:rsid w:val="00C30890"/>
    <w:rsid w:val="00C30AA9"/>
    <w:rsid w:val="00C31500"/>
    <w:rsid w:val="00C326DE"/>
    <w:rsid w:val="00C32B11"/>
    <w:rsid w:val="00C32CA5"/>
    <w:rsid w:val="00C33E8A"/>
    <w:rsid w:val="00C34695"/>
    <w:rsid w:val="00C346D3"/>
    <w:rsid w:val="00C35426"/>
    <w:rsid w:val="00C37024"/>
    <w:rsid w:val="00C378E2"/>
    <w:rsid w:val="00C401A5"/>
    <w:rsid w:val="00C40491"/>
    <w:rsid w:val="00C40BB9"/>
    <w:rsid w:val="00C41A65"/>
    <w:rsid w:val="00C42354"/>
    <w:rsid w:val="00C429D1"/>
    <w:rsid w:val="00C42F3D"/>
    <w:rsid w:val="00C434BE"/>
    <w:rsid w:val="00C43BDB"/>
    <w:rsid w:val="00C43E46"/>
    <w:rsid w:val="00C44C92"/>
    <w:rsid w:val="00C450EE"/>
    <w:rsid w:val="00C455BB"/>
    <w:rsid w:val="00C45968"/>
    <w:rsid w:val="00C46323"/>
    <w:rsid w:val="00C468BE"/>
    <w:rsid w:val="00C46C3D"/>
    <w:rsid w:val="00C47BBD"/>
    <w:rsid w:val="00C47D33"/>
    <w:rsid w:val="00C503C1"/>
    <w:rsid w:val="00C51602"/>
    <w:rsid w:val="00C51760"/>
    <w:rsid w:val="00C5206B"/>
    <w:rsid w:val="00C52851"/>
    <w:rsid w:val="00C53092"/>
    <w:rsid w:val="00C538D7"/>
    <w:rsid w:val="00C542FF"/>
    <w:rsid w:val="00C544DF"/>
    <w:rsid w:val="00C55F13"/>
    <w:rsid w:val="00C57517"/>
    <w:rsid w:val="00C578D0"/>
    <w:rsid w:val="00C57A19"/>
    <w:rsid w:val="00C60D2D"/>
    <w:rsid w:val="00C60F1A"/>
    <w:rsid w:val="00C610E0"/>
    <w:rsid w:val="00C6116B"/>
    <w:rsid w:val="00C61550"/>
    <w:rsid w:val="00C61C6B"/>
    <w:rsid w:val="00C61EC6"/>
    <w:rsid w:val="00C6210D"/>
    <w:rsid w:val="00C623CF"/>
    <w:rsid w:val="00C62A5B"/>
    <w:rsid w:val="00C6387E"/>
    <w:rsid w:val="00C64B0B"/>
    <w:rsid w:val="00C651B2"/>
    <w:rsid w:val="00C65D08"/>
    <w:rsid w:val="00C664B5"/>
    <w:rsid w:val="00C67278"/>
    <w:rsid w:val="00C67EDC"/>
    <w:rsid w:val="00C70247"/>
    <w:rsid w:val="00C705F5"/>
    <w:rsid w:val="00C7145D"/>
    <w:rsid w:val="00C717DF"/>
    <w:rsid w:val="00C71FB5"/>
    <w:rsid w:val="00C73039"/>
    <w:rsid w:val="00C732CE"/>
    <w:rsid w:val="00C73501"/>
    <w:rsid w:val="00C74112"/>
    <w:rsid w:val="00C748E4"/>
    <w:rsid w:val="00C74AF3"/>
    <w:rsid w:val="00C752F7"/>
    <w:rsid w:val="00C75325"/>
    <w:rsid w:val="00C757AD"/>
    <w:rsid w:val="00C757FB"/>
    <w:rsid w:val="00C75E12"/>
    <w:rsid w:val="00C76376"/>
    <w:rsid w:val="00C76387"/>
    <w:rsid w:val="00C771DC"/>
    <w:rsid w:val="00C77964"/>
    <w:rsid w:val="00C813EF"/>
    <w:rsid w:val="00C81A5D"/>
    <w:rsid w:val="00C83630"/>
    <w:rsid w:val="00C83EE9"/>
    <w:rsid w:val="00C85040"/>
    <w:rsid w:val="00C860F6"/>
    <w:rsid w:val="00C86374"/>
    <w:rsid w:val="00C86624"/>
    <w:rsid w:val="00C86DC8"/>
    <w:rsid w:val="00C871A3"/>
    <w:rsid w:val="00C87962"/>
    <w:rsid w:val="00C87C38"/>
    <w:rsid w:val="00C90388"/>
    <w:rsid w:val="00C905BD"/>
    <w:rsid w:val="00C911AD"/>
    <w:rsid w:val="00C91BA6"/>
    <w:rsid w:val="00C92600"/>
    <w:rsid w:val="00C926CB"/>
    <w:rsid w:val="00C93807"/>
    <w:rsid w:val="00C93F9E"/>
    <w:rsid w:val="00C94403"/>
    <w:rsid w:val="00C946BE"/>
    <w:rsid w:val="00C94A55"/>
    <w:rsid w:val="00C94B1F"/>
    <w:rsid w:val="00C9649F"/>
    <w:rsid w:val="00C9652E"/>
    <w:rsid w:val="00C9791A"/>
    <w:rsid w:val="00CA0082"/>
    <w:rsid w:val="00CA0B3C"/>
    <w:rsid w:val="00CA0F78"/>
    <w:rsid w:val="00CA1A21"/>
    <w:rsid w:val="00CA275F"/>
    <w:rsid w:val="00CA2AE7"/>
    <w:rsid w:val="00CA2C2C"/>
    <w:rsid w:val="00CA312F"/>
    <w:rsid w:val="00CA5446"/>
    <w:rsid w:val="00CA5A2F"/>
    <w:rsid w:val="00CA5AA8"/>
    <w:rsid w:val="00CA6E04"/>
    <w:rsid w:val="00CA7045"/>
    <w:rsid w:val="00CA78AB"/>
    <w:rsid w:val="00CA7E43"/>
    <w:rsid w:val="00CA7F93"/>
    <w:rsid w:val="00CB0E14"/>
    <w:rsid w:val="00CB111F"/>
    <w:rsid w:val="00CB22CF"/>
    <w:rsid w:val="00CB2856"/>
    <w:rsid w:val="00CB293F"/>
    <w:rsid w:val="00CB377A"/>
    <w:rsid w:val="00CB3819"/>
    <w:rsid w:val="00CB3A62"/>
    <w:rsid w:val="00CB4713"/>
    <w:rsid w:val="00CB4898"/>
    <w:rsid w:val="00CB56FB"/>
    <w:rsid w:val="00CB5A57"/>
    <w:rsid w:val="00CB5CE3"/>
    <w:rsid w:val="00CB601D"/>
    <w:rsid w:val="00CB72E3"/>
    <w:rsid w:val="00CC0C41"/>
    <w:rsid w:val="00CC14C3"/>
    <w:rsid w:val="00CC1520"/>
    <w:rsid w:val="00CC183A"/>
    <w:rsid w:val="00CC2763"/>
    <w:rsid w:val="00CC2851"/>
    <w:rsid w:val="00CC3175"/>
    <w:rsid w:val="00CC4382"/>
    <w:rsid w:val="00CC477A"/>
    <w:rsid w:val="00CC4866"/>
    <w:rsid w:val="00CC4A24"/>
    <w:rsid w:val="00CC5909"/>
    <w:rsid w:val="00CC6166"/>
    <w:rsid w:val="00CC62E9"/>
    <w:rsid w:val="00CC65A7"/>
    <w:rsid w:val="00CC73D3"/>
    <w:rsid w:val="00CD0A99"/>
    <w:rsid w:val="00CD16B9"/>
    <w:rsid w:val="00CD2250"/>
    <w:rsid w:val="00CD435B"/>
    <w:rsid w:val="00CD47E8"/>
    <w:rsid w:val="00CD4A7A"/>
    <w:rsid w:val="00CD4D22"/>
    <w:rsid w:val="00CD4E67"/>
    <w:rsid w:val="00CD51EA"/>
    <w:rsid w:val="00CD51EE"/>
    <w:rsid w:val="00CD5439"/>
    <w:rsid w:val="00CD586A"/>
    <w:rsid w:val="00CD6D3B"/>
    <w:rsid w:val="00CE0279"/>
    <w:rsid w:val="00CE08FC"/>
    <w:rsid w:val="00CE20AC"/>
    <w:rsid w:val="00CE20B1"/>
    <w:rsid w:val="00CE244B"/>
    <w:rsid w:val="00CE32C8"/>
    <w:rsid w:val="00CE32FD"/>
    <w:rsid w:val="00CE3C8F"/>
    <w:rsid w:val="00CE3E1A"/>
    <w:rsid w:val="00CE4319"/>
    <w:rsid w:val="00CE4747"/>
    <w:rsid w:val="00CE4970"/>
    <w:rsid w:val="00CE4C3B"/>
    <w:rsid w:val="00CE5253"/>
    <w:rsid w:val="00CE568C"/>
    <w:rsid w:val="00CE56A3"/>
    <w:rsid w:val="00CE6084"/>
    <w:rsid w:val="00CE7136"/>
    <w:rsid w:val="00CE7F06"/>
    <w:rsid w:val="00CF0711"/>
    <w:rsid w:val="00CF082B"/>
    <w:rsid w:val="00CF0933"/>
    <w:rsid w:val="00CF093F"/>
    <w:rsid w:val="00CF0F6F"/>
    <w:rsid w:val="00CF1074"/>
    <w:rsid w:val="00CF2739"/>
    <w:rsid w:val="00CF2A36"/>
    <w:rsid w:val="00CF47DA"/>
    <w:rsid w:val="00CF4AE2"/>
    <w:rsid w:val="00CF4E9F"/>
    <w:rsid w:val="00CF4F48"/>
    <w:rsid w:val="00CF536E"/>
    <w:rsid w:val="00CF5BF5"/>
    <w:rsid w:val="00CF5E4C"/>
    <w:rsid w:val="00CF6AAC"/>
    <w:rsid w:val="00CF716C"/>
    <w:rsid w:val="00CF758C"/>
    <w:rsid w:val="00CF7A1E"/>
    <w:rsid w:val="00D0054F"/>
    <w:rsid w:val="00D00E79"/>
    <w:rsid w:val="00D0138C"/>
    <w:rsid w:val="00D01F1B"/>
    <w:rsid w:val="00D026E6"/>
    <w:rsid w:val="00D02B8C"/>
    <w:rsid w:val="00D0364D"/>
    <w:rsid w:val="00D03BF0"/>
    <w:rsid w:val="00D04B4D"/>
    <w:rsid w:val="00D05A50"/>
    <w:rsid w:val="00D05C94"/>
    <w:rsid w:val="00D06E21"/>
    <w:rsid w:val="00D06EE8"/>
    <w:rsid w:val="00D07148"/>
    <w:rsid w:val="00D072A7"/>
    <w:rsid w:val="00D10880"/>
    <w:rsid w:val="00D10E31"/>
    <w:rsid w:val="00D11E1B"/>
    <w:rsid w:val="00D123A1"/>
    <w:rsid w:val="00D1372B"/>
    <w:rsid w:val="00D15C72"/>
    <w:rsid w:val="00D16056"/>
    <w:rsid w:val="00D16591"/>
    <w:rsid w:val="00D167CF"/>
    <w:rsid w:val="00D16837"/>
    <w:rsid w:val="00D20071"/>
    <w:rsid w:val="00D2066D"/>
    <w:rsid w:val="00D2068B"/>
    <w:rsid w:val="00D20FB6"/>
    <w:rsid w:val="00D22698"/>
    <w:rsid w:val="00D22931"/>
    <w:rsid w:val="00D231D1"/>
    <w:rsid w:val="00D2419D"/>
    <w:rsid w:val="00D24334"/>
    <w:rsid w:val="00D25314"/>
    <w:rsid w:val="00D25846"/>
    <w:rsid w:val="00D30186"/>
    <w:rsid w:val="00D310DC"/>
    <w:rsid w:val="00D3242C"/>
    <w:rsid w:val="00D325BF"/>
    <w:rsid w:val="00D33167"/>
    <w:rsid w:val="00D331F1"/>
    <w:rsid w:val="00D335C7"/>
    <w:rsid w:val="00D33F1A"/>
    <w:rsid w:val="00D3406C"/>
    <w:rsid w:val="00D342C1"/>
    <w:rsid w:val="00D3483E"/>
    <w:rsid w:val="00D36190"/>
    <w:rsid w:val="00D3798D"/>
    <w:rsid w:val="00D40F2B"/>
    <w:rsid w:val="00D4130A"/>
    <w:rsid w:val="00D41685"/>
    <w:rsid w:val="00D41F79"/>
    <w:rsid w:val="00D4244D"/>
    <w:rsid w:val="00D4261C"/>
    <w:rsid w:val="00D42692"/>
    <w:rsid w:val="00D432C4"/>
    <w:rsid w:val="00D443BE"/>
    <w:rsid w:val="00D44DEF"/>
    <w:rsid w:val="00D45260"/>
    <w:rsid w:val="00D45F21"/>
    <w:rsid w:val="00D45F88"/>
    <w:rsid w:val="00D46DD6"/>
    <w:rsid w:val="00D4747E"/>
    <w:rsid w:val="00D47C00"/>
    <w:rsid w:val="00D500B1"/>
    <w:rsid w:val="00D50247"/>
    <w:rsid w:val="00D50E10"/>
    <w:rsid w:val="00D51691"/>
    <w:rsid w:val="00D51B20"/>
    <w:rsid w:val="00D51B60"/>
    <w:rsid w:val="00D51FAD"/>
    <w:rsid w:val="00D522AB"/>
    <w:rsid w:val="00D52FC4"/>
    <w:rsid w:val="00D530F0"/>
    <w:rsid w:val="00D531E0"/>
    <w:rsid w:val="00D53720"/>
    <w:rsid w:val="00D53E4A"/>
    <w:rsid w:val="00D54542"/>
    <w:rsid w:val="00D54F9B"/>
    <w:rsid w:val="00D55685"/>
    <w:rsid w:val="00D55935"/>
    <w:rsid w:val="00D55DF4"/>
    <w:rsid w:val="00D56E97"/>
    <w:rsid w:val="00D57589"/>
    <w:rsid w:val="00D60668"/>
    <w:rsid w:val="00D60DFD"/>
    <w:rsid w:val="00D61CCF"/>
    <w:rsid w:val="00D624AF"/>
    <w:rsid w:val="00D624CE"/>
    <w:rsid w:val="00D62D44"/>
    <w:rsid w:val="00D63036"/>
    <w:rsid w:val="00D63F23"/>
    <w:rsid w:val="00D64986"/>
    <w:rsid w:val="00D64EB0"/>
    <w:rsid w:val="00D65787"/>
    <w:rsid w:val="00D65997"/>
    <w:rsid w:val="00D659EA"/>
    <w:rsid w:val="00D65C24"/>
    <w:rsid w:val="00D65D6D"/>
    <w:rsid w:val="00D662D0"/>
    <w:rsid w:val="00D664FD"/>
    <w:rsid w:val="00D67843"/>
    <w:rsid w:val="00D67FF3"/>
    <w:rsid w:val="00D70D29"/>
    <w:rsid w:val="00D71179"/>
    <w:rsid w:val="00D7137A"/>
    <w:rsid w:val="00D7176A"/>
    <w:rsid w:val="00D73086"/>
    <w:rsid w:val="00D734E7"/>
    <w:rsid w:val="00D73930"/>
    <w:rsid w:val="00D739E6"/>
    <w:rsid w:val="00D73CCC"/>
    <w:rsid w:val="00D745BE"/>
    <w:rsid w:val="00D75782"/>
    <w:rsid w:val="00D75D61"/>
    <w:rsid w:val="00D76475"/>
    <w:rsid w:val="00D76946"/>
    <w:rsid w:val="00D805DE"/>
    <w:rsid w:val="00D81DBB"/>
    <w:rsid w:val="00D8220E"/>
    <w:rsid w:val="00D822EC"/>
    <w:rsid w:val="00D83B9D"/>
    <w:rsid w:val="00D842EF"/>
    <w:rsid w:val="00D84CAE"/>
    <w:rsid w:val="00D853B0"/>
    <w:rsid w:val="00D85888"/>
    <w:rsid w:val="00D86198"/>
    <w:rsid w:val="00D867C2"/>
    <w:rsid w:val="00D86973"/>
    <w:rsid w:val="00D87D18"/>
    <w:rsid w:val="00D900A4"/>
    <w:rsid w:val="00D90168"/>
    <w:rsid w:val="00D9039D"/>
    <w:rsid w:val="00D90C42"/>
    <w:rsid w:val="00D9113E"/>
    <w:rsid w:val="00D9127D"/>
    <w:rsid w:val="00D9139A"/>
    <w:rsid w:val="00D91EBC"/>
    <w:rsid w:val="00D9243B"/>
    <w:rsid w:val="00D93B49"/>
    <w:rsid w:val="00D941CE"/>
    <w:rsid w:val="00D948B9"/>
    <w:rsid w:val="00D952B0"/>
    <w:rsid w:val="00D95703"/>
    <w:rsid w:val="00D95849"/>
    <w:rsid w:val="00D9590D"/>
    <w:rsid w:val="00D95A4F"/>
    <w:rsid w:val="00D96372"/>
    <w:rsid w:val="00D963DD"/>
    <w:rsid w:val="00DA07A5"/>
    <w:rsid w:val="00DA09AA"/>
    <w:rsid w:val="00DA126D"/>
    <w:rsid w:val="00DA1A2F"/>
    <w:rsid w:val="00DA1C9B"/>
    <w:rsid w:val="00DA29EC"/>
    <w:rsid w:val="00DA3A0F"/>
    <w:rsid w:val="00DA43F4"/>
    <w:rsid w:val="00DA4FFD"/>
    <w:rsid w:val="00DA5540"/>
    <w:rsid w:val="00DA5CDA"/>
    <w:rsid w:val="00DA5FB0"/>
    <w:rsid w:val="00DA7011"/>
    <w:rsid w:val="00DA706F"/>
    <w:rsid w:val="00DA7C20"/>
    <w:rsid w:val="00DB0396"/>
    <w:rsid w:val="00DB03C3"/>
    <w:rsid w:val="00DB0D70"/>
    <w:rsid w:val="00DB392C"/>
    <w:rsid w:val="00DB3D15"/>
    <w:rsid w:val="00DB42DE"/>
    <w:rsid w:val="00DB492A"/>
    <w:rsid w:val="00DB4A06"/>
    <w:rsid w:val="00DB4E43"/>
    <w:rsid w:val="00DB5D00"/>
    <w:rsid w:val="00DB6343"/>
    <w:rsid w:val="00DB6A8C"/>
    <w:rsid w:val="00DB6E26"/>
    <w:rsid w:val="00DB71F1"/>
    <w:rsid w:val="00DB7347"/>
    <w:rsid w:val="00DB7E40"/>
    <w:rsid w:val="00DB7F46"/>
    <w:rsid w:val="00DC041A"/>
    <w:rsid w:val="00DC1BFC"/>
    <w:rsid w:val="00DC1C78"/>
    <w:rsid w:val="00DC2538"/>
    <w:rsid w:val="00DC2815"/>
    <w:rsid w:val="00DC3382"/>
    <w:rsid w:val="00DC49B7"/>
    <w:rsid w:val="00DC4AE1"/>
    <w:rsid w:val="00DC4BB9"/>
    <w:rsid w:val="00DC500B"/>
    <w:rsid w:val="00DC5F5D"/>
    <w:rsid w:val="00DC6380"/>
    <w:rsid w:val="00DC6C91"/>
    <w:rsid w:val="00DC7B64"/>
    <w:rsid w:val="00DD09C3"/>
    <w:rsid w:val="00DD0CAD"/>
    <w:rsid w:val="00DD0FDD"/>
    <w:rsid w:val="00DD1C5D"/>
    <w:rsid w:val="00DD25D4"/>
    <w:rsid w:val="00DD334B"/>
    <w:rsid w:val="00DD4327"/>
    <w:rsid w:val="00DD4958"/>
    <w:rsid w:val="00DD4EF1"/>
    <w:rsid w:val="00DD57A1"/>
    <w:rsid w:val="00DD5DBA"/>
    <w:rsid w:val="00DD5E2A"/>
    <w:rsid w:val="00DD6C79"/>
    <w:rsid w:val="00DD6C8D"/>
    <w:rsid w:val="00DD70F7"/>
    <w:rsid w:val="00DD7903"/>
    <w:rsid w:val="00DE0CC5"/>
    <w:rsid w:val="00DE1362"/>
    <w:rsid w:val="00DE1964"/>
    <w:rsid w:val="00DE1A91"/>
    <w:rsid w:val="00DE22AF"/>
    <w:rsid w:val="00DE2369"/>
    <w:rsid w:val="00DE2793"/>
    <w:rsid w:val="00DE39BF"/>
    <w:rsid w:val="00DE3BD0"/>
    <w:rsid w:val="00DE4084"/>
    <w:rsid w:val="00DE42AB"/>
    <w:rsid w:val="00DE4B37"/>
    <w:rsid w:val="00DE54E1"/>
    <w:rsid w:val="00DE5851"/>
    <w:rsid w:val="00DE58F1"/>
    <w:rsid w:val="00DE6DAD"/>
    <w:rsid w:val="00DE75BB"/>
    <w:rsid w:val="00DE775D"/>
    <w:rsid w:val="00DE7B54"/>
    <w:rsid w:val="00DF0067"/>
    <w:rsid w:val="00DF2802"/>
    <w:rsid w:val="00DF2E15"/>
    <w:rsid w:val="00DF31CB"/>
    <w:rsid w:val="00DF3E6B"/>
    <w:rsid w:val="00DF4057"/>
    <w:rsid w:val="00DF44F4"/>
    <w:rsid w:val="00DF4E43"/>
    <w:rsid w:val="00DF54C7"/>
    <w:rsid w:val="00DF5CA0"/>
    <w:rsid w:val="00DF5E13"/>
    <w:rsid w:val="00DF64E3"/>
    <w:rsid w:val="00DF72D3"/>
    <w:rsid w:val="00DF751D"/>
    <w:rsid w:val="00DF7CE2"/>
    <w:rsid w:val="00E00531"/>
    <w:rsid w:val="00E00668"/>
    <w:rsid w:val="00E006AC"/>
    <w:rsid w:val="00E01399"/>
    <w:rsid w:val="00E0144C"/>
    <w:rsid w:val="00E0193E"/>
    <w:rsid w:val="00E0239D"/>
    <w:rsid w:val="00E02B67"/>
    <w:rsid w:val="00E02B95"/>
    <w:rsid w:val="00E03009"/>
    <w:rsid w:val="00E031F5"/>
    <w:rsid w:val="00E0326A"/>
    <w:rsid w:val="00E036BA"/>
    <w:rsid w:val="00E03866"/>
    <w:rsid w:val="00E0445F"/>
    <w:rsid w:val="00E04489"/>
    <w:rsid w:val="00E04530"/>
    <w:rsid w:val="00E0609D"/>
    <w:rsid w:val="00E063A9"/>
    <w:rsid w:val="00E06445"/>
    <w:rsid w:val="00E075C1"/>
    <w:rsid w:val="00E07FC6"/>
    <w:rsid w:val="00E10414"/>
    <w:rsid w:val="00E10E34"/>
    <w:rsid w:val="00E10E82"/>
    <w:rsid w:val="00E112A3"/>
    <w:rsid w:val="00E12CC2"/>
    <w:rsid w:val="00E13219"/>
    <w:rsid w:val="00E13304"/>
    <w:rsid w:val="00E138C7"/>
    <w:rsid w:val="00E143F9"/>
    <w:rsid w:val="00E145FF"/>
    <w:rsid w:val="00E14A7C"/>
    <w:rsid w:val="00E14CAE"/>
    <w:rsid w:val="00E14D4D"/>
    <w:rsid w:val="00E15104"/>
    <w:rsid w:val="00E1588F"/>
    <w:rsid w:val="00E159DD"/>
    <w:rsid w:val="00E160BA"/>
    <w:rsid w:val="00E16321"/>
    <w:rsid w:val="00E16988"/>
    <w:rsid w:val="00E2065E"/>
    <w:rsid w:val="00E21133"/>
    <w:rsid w:val="00E217D2"/>
    <w:rsid w:val="00E2199D"/>
    <w:rsid w:val="00E2206A"/>
    <w:rsid w:val="00E220CF"/>
    <w:rsid w:val="00E23FDA"/>
    <w:rsid w:val="00E255DB"/>
    <w:rsid w:val="00E264E2"/>
    <w:rsid w:val="00E26E7F"/>
    <w:rsid w:val="00E27404"/>
    <w:rsid w:val="00E2783C"/>
    <w:rsid w:val="00E27855"/>
    <w:rsid w:val="00E27E28"/>
    <w:rsid w:val="00E27E3C"/>
    <w:rsid w:val="00E30EA3"/>
    <w:rsid w:val="00E31310"/>
    <w:rsid w:val="00E314B7"/>
    <w:rsid w:val="00E3198B"/>
    <w:rsid w:val="00E322E4"/>
    <w:rsid w:val="00E3249C"/>
    <w:rsid w:val="00E32C49"/>
    <w:rsid w:val="00E32E57"/>
    <w:rsid w:val="00E34294"/>
    <w:rsid w:val="00E3441D"/>
    <w:rsid w:val="00E348A7"/>
    <w:rsid w:val="00E34A3D"/>
    <w:rsid w:val="00E350F9"/>
    <w:rsid w:val="00E354EA"/>
    <w:rsid w:val="00E35816"/>
    <w:rsid w:val="00E3608F"/>
    <w:rsid w:val="00E360C8"/>
    <w:rsid w:val="00E37036"/>
    <w:rsid w:val="00E37324"/>
    <w:rsid w:val="00E37FAF"/>
    <w:rsid w:val="00E40BE2"/>
    <w:rsid w:val="00E41898"/>
    <w:rsid w:val="00E41AEA"/>
    <w:rsid w:val="00E41CFE"/>
    <w:rsid w:val="00E426A6"/>
    <w:rsid w:val="00E4348A"/>
    <w:rsid w:val="00E43915"/>
    <w:rsid w:val="00E4409A"/>
    <w:rsid w:val="00E4507A"/>
    <w:rsid w:val="00E462B3"/>
    <w:rsid w:val="00E46575"/>
    <w:rsid w:val="00E469FB"/>
    <w:rsid w:val="00E46D1B"/>
    <w:rsid w:val="00E47AF3"/>
    <w:rsid w:val="00E47E7E"/>
    <w:rsid w:val="00E500DE"/>
    <w:rsid w:val="00E506E7"/>
    <w:rsid w:val="00E516E3"/>
    <w:rsid w:val="00E518DA"/>
    <w:rsid w:val="00E51EF0"/>
    <w:rsid w:val="00E52959"/>
    <w:rsid w:val="00E53CA8"/>
    <w:rsid w:val="00E55530"/>
    <w:rsid w:val="00E56589"/>
    <w:rsid w:val="00E56D0D"/>
    <w:rsid w:val="00E574BB"/>
    <w:rsid w:val="00E57F2F"/>
    <w:rsid w:val="00E605C6"/>
    <w:rsid w:val="00E60711"/>
    <w:rsid w:val="00E618C0"/>
    <w:rsid w:val="00E619BC"/>
    <w:rsid w:val="00E62E72"/>
    <w:rsid w:val="00E63714"/>
    <w:rsid w:val="00E63D06"/>
    <w:rsid w:val="00E63D9B"/>
    <w:rsid w:val="00E641CD"/>
    <w:rsid w:val="00E65EDD"/>
    <w:rsid w:val="00E663DD"/>
    <w:rsid w:val="00E6745D"/>
    <w:rsid w:val="00E67DE7"/>
    <w:rsid w:val="00E70890"/>
    <w:rsid w:val="00E709B9"/>
    <w:rsid w:val="00E723E0"/>
    <w:rsid w:val="00E724A7"/>
    <w:rsid w:val="00E72BF6"/>
    <w:rsid w:val="00E72D8E"/>
    <w:rsid w:val="00E72FC0"/>
    <w:rsid w:val="00E73394"/>
    <w:rsid w:val="00E734C5"/>
    <w:rsid w:val="00E74512"/>
    <w:rsid w:val="00E74864"/>
    <w:rsid w:val="00E74A23"/>
    <w:rsid w:val="00E74BC4"/>
    <w:rsid w:val="00E75954"/>
    <w:rsid w:val="00E75AA0"/>
    <w:rsid w:val="00E75BE7"/>
    <w:rsid w:val="00E7650C"/>
    <w:rsid w:val="00E76909"/>
    <w:rsid w:val="00E76F08"/>
    <w:rsid w:val="00E77093"/>
    <w:rsid w:val="00E77310"/>
    <w:rsid w:val="00E77B61"/>
    <w:rsid w:val="00E77BAB"/>
    <w:rsid w:val="00E77EE0"/>
    <w:rsid w:val="00E81696"/>
    <w:rsid w:val="00E8185B"/>
    <w:rsid w:val="00E81A26"/>
    <w:rsid w:val="00E81E0E"/>
    <w:rsid w:val="00E83113"/>
    <w:rsid w:val="00E845BB"/>
    <w:rsid w:val="00E847FC"/>
    <w:rsid w:val="00E85E05"/>
    <w:rsid w:val="00E860DA"/>
    <w:rsid w:val="00E869EB"/>
    <w:rsid w:val="00E86ACE"/>
    <w:rsid w:val="00E86F29"/>
    <w:rsid w:val="00E901E8"/>
    <w:rsid w:val="00E91573"/>
    <w:rsid w:val="00E9304B"/>
    <w:rsid w:val="00E9339E"/>
    <w:rsid w:val="00E93436"/>
    <w:rsid w:val="00E949DF"/>
    <w:rsid w:val="00E94D39"/>
    <w:rsid w:val="00E96D8B"/>
    <w:rsid w:val="00E97482"/>
    <w:rsid w:val="00E97751"/>
    <w:rsid w:val="00E97883"/>
    <w:rsid w:val="00EA0AB7"/>
    <w:rsid w:val="00EA1656"/>
    <w:rsid w:val="00EA23D8"/>
    <w:rsid w:val="00EA2523"/>
    <w:rsid w:val="00EA2CB5"/>
    <w:rsid w:val="00EA3547"/>
    <w:rsid w:val="00EA3847"/>
    <w:rsid w:val="00EA38E6"/>
    <w:rsid w:val="00EA44A6"/>
    <w:rsid w:val="00EA4FB1"/>
    <w:rsid w:val="00EA6245"/>
    <w:rsid w:val="00EA6964"/>
    <w:rsid w:val="00EA6E03"/>
    <w:rsid w:val="00EB0444"/>
    <w:rsid w:val="00EB0733"/>
    <w:rsid w:val="00EB084B"/>
    <w:rsid w:val="00EB1CDE"/>
    <w:rsid w:val="00EB2111"/>
    <w:rsid w:val="00EB23DB"/>
    <w:rsid w:val="00EB29DB"/>
    <w:rsid w:val="00EB32B0"/>
    <w:rsid w:val="00EB3D28"/>
    <w:rsid w:val="00EB55BC"/>
    <w:rsid w:val="00EB5D1B"/>
    <w:rsid w:val="00EB5F16"/>
    <w:rsid w:val="00EB62B5"/>
    <w:rsid w:val="00EB7B5E"/>
    <w:rsid w:val="00EC0075"/>
    <w:rsid w:val="00EC0DA0"/>
    <w:rsid w:val="00EC110E"/>
    <w:rsid w:val="00EC3520"/>
    <w:rsid w:val="00EC3583"/>
    <w:rsid w:val="00EC37CB"/>
    <w:rsid w:val="00EC3D85"/>
    <w:rsid w:val="00EC42E3"/>
    <w:rsid w:val="00EC4399"/>
    <w:rsid w:val="00EC5D07"/>
    <w:rsid w:val="00EC68F8"/>
    <w:rsid w:val="00EC7248"/>
    <w:rsid w:val="00EC7449"/>
    <w:rsid w:val="00EC7A7F"/>
    <w:rsid w:val="00ED0085"/>
    <w:rsid w:val="00ED0183"/>
    <w:rsid w:val="00ED038D"/>
    <w:rsid w:val="00ED04FE"/>
    <w:rsid w:val="00ED0580"/>
    <w:rsid w:val="00ED0606"/>
    <w:rsid w:val="00ED0F08"/>
    <w:rsid w:val="00ED1A92"/>
    <w:rsid w:val="00ED240B"/>
    <w:rsid w:val="00ED33E2"/>
    <w:rsid w:val="00ED396A"/>
    <w:rsid w:val="00ED3A74"/>
    <w:rsid w:val="00ED3D08"/>
    <w:rsid w:val="00ED469F"/>
    <w:rsid w:val="00ED6C23"/>
    <w:rsid w:val="00EE10B4"/>
    <w:rsid w:val="00EE206C"/>
    <w:rsid w:val="00EE24A7"/>
    <w:rsid w:val="00EE3232"/>
    <w:rsid w:val="00EE36F8"/>
    <w:rsid w:val="00EE4516"/>
    <w:rsid w:val="00EE4C17"/>
    <w:rsid w:val="00EE4C39"/>
    <w:rsid w:val="00EE5792"/>
    <w:rsid w:val="00EE7E90"/>
    <w:rsid w:val="00EF0187"/>
    <w:rsid w:val="00EF05B4"/>
    <w:rsid w:val="00EF182C"/>
    <w:rsid w:val="00EF398C"/>
    <w:rsid w:val="00EF41A2"/>
    <w:rsid w:val="00EF451C"/>
    <w:rsid w:val="00EF4F04"/>
    <w:rsid w:val="00EF4F7E"/>
    <w:rsid w:val="00EF592C"/>
    <w:rsid w:val="00EF5F3E"/>
    <w:rsid w:val="00EF6B53"/>
    <w:rsid w:val="00EF6C1D"/>
    <w:rsid w:val="00EF7158"/>
    <w:rsid w:val="00EF75F8"/>
    <w:rsid w:val="00F007DD"/>
    <w:rsid w:val="00F01173"/>
    <w:rsid w:val="00F017A1"/>
    <w:rsid w:val="00F01B9C"/>
    <w:rsid w:val="00F02585"/>
    <w:rsid w:val="00F02DB3"/>
    <w:rsid w:val="00F02F38"/>
    <w:rsid w:val="00F03312"/>
    <w:rsid w:val="00F03CFB"/>
    <w:rsid w:val="00F04437"/>
    <w:rsid w:val="00F05197"/>
    <w:rsid w:val="00F059F7"/>
    <w:rsid w:val="00F06B48"/>
    <w:rsid w:val="00F0725A"/>
    <w:rsid w:val="00F07A59"/>
    <w:rsid w:val="00F07B0A"/>
    <w:rsid w:val="00F07DFA"/>
    <w:rsid w:val="00F109AC"/>
    <w:rsid w:val="00F1107F"/>
    <w:rsid w:val="00F11696"/>
    <w:rsid w:val="00F11F69"/>
    <w:rsid w:val="00F131D5"/>
    <w:rsid w:val="00F13528"/>
    <w:rsid w:val="00F137AD"/>
    <w:rsid w:val="00F13D55"/>
    <w:rsid w:val="00F141D5"/>
    <w:rsid w:val="00F1435C"/>
    <w:rsid w:val="00F14B24"/>
    <w:rsid w:val="00F14F0B"/>
    <w:rsid w:val="00F165EF"/>
    <w:rsid w:val="00F16825"/>
    <w:rsid w:val="00F176F8"/>
    <w:rsid w:val="00F1790D"/>
    <w:rsid w:val="00F17F84"/>
    <w:rsid w:val="00F20200"/>
    <w:rsid w:val="00F202B1"/>
    <w:rsid w:val="00F20357"/>
    <w:rsid w:val="00F20482"/>
    <w:rsid w:val="00F21616"/>
    <w:rsid w:val="00F21E34"/>
    <w:rsid w:val="00F22656"/>
    <w:rsid w:val="00F227EF"/>
    <w:rsid w:val="00F228AA"/>
    <w:rsid w:val="00F23B30"/>
    <w:rsid w:val="00F243C4"/>
    <w:rsid w:val="00F24B50"/>
    <w:rsid w:val="00F24E58"/>
    <w:rsid w:val="00F25253"/>
    <w:rsid w:val="00F25911"/>
    <w:rsid w:val="00F25D6A"/>
    <w:rsid w:val="00F26ECB"/>
    <w:rsid w:val="00F2727C"/>
    <w:rsid w:val="00F30B70"/>
    <w:rsid w:val="00F30B8A"/>
    <w:rsid w:val="00F30FE6"/>
    <w:rsid w:val="00F31351"/>
    <w:rsid w:val="00F318A1"/>
    <w:rsid w:val="00F31AC5"/>
    <w:rsid w:val="00F324BF"/>
    <w:rsid w:val="00F32648"/>
    <w:rsid w:val="00F32C6E"/>
    <w:rsid w:val="00F3347D"/>
    <w:rsid w:val="00F33C0A"/>
    <w:rsid w:val="00F34864"/>
    <w:rsid w:val="00F352EE"/>
    <w:rsid w:val="00F37079"/>
    <w:rsid w:val="00F37136"/>
    <w:rsid w:val="00F37D43"/>
    <w:rsid w:val="00F37FD1"/>
    <w:rsid w:val="00F4265F"/>
    <w:rsid w:val="00F434C0"/>
    <w:rsid w:val="00F43924"/>
    <w:rsid w:val="00F43C74"/>
    <w:rsid w:val="00F43EB8"/>
    <w:rsid w:val="00F442E0"/>
    <w:rsid w:val="00F44826"/>
    <w:rsid w:val="00F44DB2"/>
    <w:rsid w:val="00F45324"/>
    <w:rsid w:val="00F45461"/>
    <w:rsid w:val="00F45A42"/>
    <w:rsid w:val="00F45C3E"/>
    <w:rsid w:val="00F45EB4"/>
    <w:rsid w:val="00F4649A"/>
    <w:rsid w:val="00F46E5A"/>
    <w:rsid w:val="00F47723"/>
    <w:rsid w:val="00F47A13"/>
    <w:rsid w:val="00F50676"/>
    <w:rsid w:val="00F50753"/>
    <w:rsid w:val="00F5138B"/>
    <w:rsid w:val="00F52001"/>
    <w:rsid w:val="00F520FD"/>
    <w:rsid w:val="00F52294"/>
    <w:rsid w:val="00F526B0"/>
    <w:rsid w:val="00F531BF"/>
    <w:rsid w:val="00F53F40"/>
    <w:rsid w:val="00F54367"/>
    <w:rsid w:val="00F545E9"/>
    <w:rsid w:val="00F54A6C"/>
    <w:rsid w:val="00F5531C"/>
    <w:rsid w:val="00F558CC"/>
    <w:rsid w:val="00F55DA3"/>
    <w:rsid w:val="00F56854"/>
    <w:rsid w:val="00F571CA"/>
    <w:rsid w:val="00F57893"/>
    <w:rsid w:val="00F57A27"/>
    <w:rsid w:val="00F57B55"/>
    <w:rsid w:val="00F60035"/>
    <w:rsid w:val="00F606A0"/>
    <w:rsid w:val="00F607A5"/>
    <w:rsid w:val="00F60914"/>
    <w:rsid w:val="00F60A80"/>
    <w:rsid w:val="00F61344"/>
    <w:rsid w:val="00F61B4E"/>
    <w:rsid w:val="00F6276A"/>
    <w:rsid w:val="00F63777"/>
    <w:rsid w:val="00F63B2C"/>
    <w:rsid w:val="00F63BE2"/>
    <w:rsid w:val="00F63C1D"/>
    <w:rsid w:val="00F6538C"/>
    <w:rsid w:val="00F65D4A"/>
    <w:rsid w:val="00F6615E"/>
    <w:rsid w:val="00F66475"/>
    <w:rsid w:val="00F6721F"/>
    <w:rsid w:val="00F718E1"/>
    <w:rsid w:val="00F719F4"/>
    <w:rsid w:val="00F725C2"/>
    <w:rsid w:val="00F729DF"/>
    <w:rsid w:val="00F72BDA"/>
    <w:rsid w:val="00F7324E"/>
    <w:rsid w:val="00F732DE"/>
    <w:rsid w:val="00F739CA"/>
    <w:rsid w:val="00F73D42"/>
    <w:rsid w:val="00F7405A"/>
    <w:rsid w:val="00F746C1"/>
    <w:rsid w:val="00F7584C"/>
    <w:rsid w:val="00F75B11"/>
    <w:rsid w:val="00F75EE8"/>
    <w:rsid w:val="00F760E7"/>
    <w:rsid w:val="00F77B79"/>
    <w:rsid w:val="00F77C50"/>
    <w:rsid w:val="00F803CE"/>
    <w:rsid w:val="00F81625"/>
    <w:rsid w:val="00F81D0E"/>
    <w:rsid w:val="00F82A2E"/>
    <w:rsid w:val="00F82BF7"/>
    <w:rsid w:val="00F82D06"/>
    <w:rsid w:val="00F83928"/>
    <w:rsid w:val="00F83965"/>
    <w:rsid w:val="00F83D1E"/>
    <w:rsid w:val="00F8406F"/>
    <w:rsid w:val="00F847E5"/>
    <w:rsid w:val="00F84C93"/>
    <w:rsid w:val="00F8568D"/>
    <w:rsid w:val="00F85BD9"/>
    <w:rsid w:val="00F85E64"/>
    <w:rsid w:val="00F864B1"/>
    <w:rsid w:val="00F868D9"/>
    <w:rsid w:val="00F87732"/>
    <w:rsid w:val="00F8783A"/>
    <w:rsid w:val="00F87DCC"/>
    <w:rsid w:val="00F903AB"/>
    <w:rsid w:val="00F9051C"/>
    <w:rsid w:val="00F905F3"/>
    <w:rsid w:val="00F9127A"/>
    <w:rsid w:val="00F91590"/>
    <w:rsid w:val="00F920CD"/>
    <w:rsid w:val="00F92FAD"/>
    <w:rsid w:val="00F93204"/>
    <w:rsid w:val="00F93DA8"/>
    <w:rsid w:val="00F94AEB"/>
    <w:rsid w:val="00F9534C"/>
    <w:rsid w:val="00F95541"/>
    <w:rsid w:val="00F95B55"/>
    <w:rsid w:val="00F95D7A"/>
    <w:rsid w:val="00F966A4"/>
    <w:rsid w:val="00F96725"/>
    <w:rsid w:val="00F96E4C"/>
    <w:rsid w:val="00F976C5"/>
    <w:rsid w:val="00F97D82"/>
    <w:rsid w:val="00FA0385"/>
    <w:rsid w:val="00FA071F"/>
    <w:rsid w:val="00FA0C30"/>
    <w:rsid w:val="00FA1106"/>
    <w:rsid w:val="00FA158E"/>
    <w:rsid w:val="00FA1843"/>
    <w:rsid w:val="00FA2B85"/>
    <w:rsid w:val="00FA2FC8"/>
    <w:rsid w:val="00FA466E"/>
    <w:rsid w:val="00FA561C"/>
    <w:rsid w:val="00FA7AC7"/>
    <w:rsid w:val="00FB0E4B"/>
    <w:rsid w:val="00FB0FB9"/>
    <w:rsid w:val="00FB10E3"/>
    <w:rsid w:val="00FB1662"/>
    <w:rsid w:val="00FB19E6"/>
    <w:rsid w:val="00FB24C0"/>
    <w:rsid w:val="00FB2764"/>
    <w:rsid w:val="00FB3B65"/>
    <w:rsid w:val="00FB3CEE"/>
    <w:rsid w:val="00FB4D47"/>
    <w:rsid w:val="00FB5235"/>
    <w:rsid w:val="00FB5288"/>
    <w:rsid w:val="00FB5323"/>
    <w:rsid w:val="00FB7445"/>
    <w:rsid w:val="00FB7918"/>
    <w:rsid w:val="00FB7E3F"/>
    <w:rsid w:val="00FC0067"/>
    <w:rsid w:val="00FC070D"/>
    <w:rsid w:val="00FC0B20"/>
    <w:rsid w:val="00FC0FA9"/>
    <w:rsid w:val="00FC382F"/>
    <w:rsid w:val="00FC3B84"/>
    <w:rsid w:val="00FC3BC9"/>
    <w:rsid w:val="00FC4EA1"/>
    <w:rsid w:val="00FC6046"/>
    <w:rsid w:val="00FC6427"/>
    <w:rsid w:val="00FC6A68"/>
    <w:rsid w:val="00FC6CCA"/>
    <w:rsid w:val="00FC705D"/>
    <w:rsid w:val="00FC7439"/>
    <w:rsid w:val="00FC7A3A"/>
    <w:rsid w:val="00FC7FB4"/>
    <w:rsid w:val="00FD0543"/>
    <w:rsid w:val="00FD0D33"/>
    <w:rsid w:val="00FD1654"/>
    <w:rsid w:val="00FD20AD"/>
    <w:rsid w:val="00FD2E81"/>
    <w:rsid w:val="00FD2FAA"/>
    <w:rsid w:val="00FD32D3"/>
    <w:rsid w:val="00FD4E9A"/>
    <w:rsid w:val="00FD588B"/>
    <w:rsid w:val="00FD6524"/>
    <w:rsid w:val="00FD6D04"/>
    <w:rsid w:val="00FD7FE9"/>
    <w:rsid w:val="00FE054B"/>
    <w:rsid w:val="00FE1044"/>
    <w:rsid w:val="00FE1323"/>
    <w:rsid w:val="00FE2244"/>
    <w:rsid w:val="00FE28E1"/>
    <w:rsid w:val="00FE2B4D"/>
    <w:rsid w:val="00FE3683"/>
    <w:rsid w:val="00FE4228"/>
    <w:rsid w:val="00FE5AE5"/>
    <w:rsid w:val="00FE5AF0"/>
    <w:rsid w:val="00FE5B11"/>
    <w:rsid w:val="00FE78FB"/>
    <w:rsid w:val="00FE7F3E"/>
    <w:rsid w:val="00FF0A60"/>
    <w:rsid w:val="00FF234E"/>
    <w:rsid w:val="00FF29C3"/>
    <w:rsid w:val="00FF317B"/>
    <w:rsid w:val="00FF372E"/>
    <w:rsid w:val="00FF4617"/>
    <w:rsid w:val="00FF5C84"/>
    <w:rsid w:val="00FF5E2D"/>
    <w:rsid w:val="00FF6541"/>
    <w:rsid w:val="00FF6997"/>
    <w:rsid w:val="00FF6DD0"/>
    <w:rsid w:val="00FF7396"/>
    <w:rsid w:val="00FF78E2"/>
    <w:rsid w:val="00FF79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43A77C"/>
  <w15:docId w15:val="{BBEA4ACB-607D-EC49-852B-323B81CB3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BD2"/>
    <w:rPr>
      <w:rFonts w:ascii="Times New Roman" w:eastAsia="Times New Roman" w:hAnsi="Times New Roman" w:cs="Times New Roman"/>
    </w:rPr>
  </w:style>
  <w:style w:type="paragraph" w:styleId="Titre1">
    <w:name w:val="heading 1"/>
    <w:basedOn w:val="Normal"/>
    <w:uiPriority w:val="1"/>
    <w:pPr>
      <w:ind w:left="451"/>
      <w:jc w:val="center"/>
      <w:outlineLvl w:val="0"/>
    </w:pPr>
    <w:rPr>
      <w:b/>
      <w:bCs/>
      <w:sz w:val="28"/>
      <w:szCs w:val="28"/>
    </w:rPr>
  </w:style>
  <w:style w:type="paragraph" w:styleId="Titre2">
    <w:name w:val="heading 2"/>
    <w:basedOn w:val="Normal"/>
    <w:uiPriority w:val="1"/>
    <w:pPr>
      <w:ind w:left="1046"/>
      <w:outlineLvl w:val="1"/>
    </w:pPr>
    <w:rPr>
      <w:b/>
      <w:bCs/>
      <w:sz w:val="24"/>
      <w:szCs w:val="24"/>
    </w:rPr>
  </w:style>
  <w:style w:type="paragraph" w:styleId="Titre3">
    <w:name w:val="heading 3"/>
    <w:basedOn w:val="Normal"/>
    <w:next w:val="Normal"/>
    <w:link w:val="Titre3Car"/>
    <w:uiPriority w:val="9"/>
    <w:semiHidden/>
    <w:unhideWhenUsed/>
    <w:qFormat/>
    <w:rsid w:val="00F07B0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39"/>
    <w:qFormat/>
    <w:rsid w:val="00E469FB"/>
    <w:pPr>
      <w:spacing w:before="100"/>
      <w:ind w:left="139"/>
    </w:pPr>
  </w:style>
  <w:style w:type="paragraph" w:styleId="TM2">
    <w:name w:val="toc 2"/>
    <w:basedOn w:val="Normal"/>
    <w:uiPriority w:val="39"/>
    <w:qFormat/>
    <w:pPr>
      <w:spacing w:before="100"/>
      <w:ind w:left="1019" w:hanging="661"/>
    </w:pPr>
  </w:style>
  <w:style w:type="paragraph" w:styleId="Corpsdetexte">
    <w:name w:val="Body Text"/>
    <w:basedOn w:val="Normal"/>
    <w:link w:val="CorpsdetexteCar"/>
    <w:uiPriority w:val="1"/>
    <w:qFormat/>
    <w:rsid w:val="00144A6D"/>
    <w:pPr>
      <w:widowControl/>
      <w:numPr>
        <w:numId w:val="7"/>
      </w:numPr>
      <w:spacing w:after="120" w:line="360" w:lineRule="auto"/>
      <w:ind w:left="1080"/>
      <w:jc w:val="both"/>
    </w:pPr>
    <w:rPr>
      <w:sz w:val="24"/>
      <w:szCs w:val="24"/>
    </w:rPr>
  </w:style>
  <w:style w:type="paragraph" w:styleId="Paragraphedeliste">
    <w:name w:val="List Paragraph"/>
    <w:basedOn w:val="Normal"/>
    <w:uiPriority w:val="34"/>
    <w:qFormat/>
    <w:pPr>
      <w:ind w:left="993" w:hanging="360"/>
      <w:jc w:val="both"/>
    </w:pPr>
  </w:style>
  <w:style w:type="paragraph" w:customStyle="1" w:styleId="TableParagraph">
    <w:name w:val="Table Paragraph"/>
    <w:basedOn w:val="Normal"/>
    <w:uiPriority w:val="1"/>
    <w:qFormat/>
    <w:pPr>
      <w:ind w:left="218"/>
    </w:pPr>
  </w:style>
  <w:style w:type="paragraph" w:styleId="Textedebulles">
    <w:name w:val="Balloon Text"/>
    <w:basedOn w:val="Normal"/>
    <w:link w:val="TextedebullesCar"/>
    <w:uiPriority w:val="99"/>
    <w:semiHidden/>
    <w:unhideWhenUsed/>
    <w:rsid w:val="003121B3"/>
    <w:rPr>
      <w:rFonts w:ascii="Tahoma" w:hAnsi="Tahoma" w:cs="Tahoma"/>
      <w:sz w:val="16"/>
      <w:szCs w:val="16"/>
    </w:rPr>
  </w:style>
  <w:style w:type="character" w:customStyle="1" w:styleId="TextedebullesCar">
    <w:name w:val="Texte de bulles Car"/>
    <w:basedOn w:val="Policepardfaut"/>
    <w:link w:val="Textedebulles"/>
    <w:uiPriority w:val="99"/>
    <w:semiHidden/>
    <w:rsid w:val="003121B3"/>
    <w:rPr>
      <w:rFonts w:ascii="Tahoma" w:eastAsia="Times New Roman" w:hAnsi="Tahoma" w:cs="Tahoma"/>
      <w:sz w:val="16"/>
      <w:szCs w:val="16"/>
    </w:rPr>
  </w:style>
  <w:style w:type="character" w:styleId="Marquedecommentaire">
    <w:name w:val="annotation reference"/>
    <w:basedOn w:val="Policepardfaut"/>
    <w:uiPriority w:val="99"/>
    <w:semiHidden/>
    <w:unhideWhenUsed/>
    <w:rsid w:val="00F57A27"/>
    <w:rPr>
      <w:sz w:val="16"/>
      <w:szCs w:val="16"/>
    </w:rPr>
  </w:style>
  <w:style w:type="paragraph" w:styleId="Commentaire">
    <w:name w:val="annotation text"/>
    <w:basedOn w:val="Normal"/>
    <w:link w:val="CommentaireCar"/>
    <w:uiPriority w:val="99"/>
    <w:unhideWhenUsed/>
    <w:rsid w:val="00F57A27"/>
    <w:rPr>
      <w:sz w:val="20"/>
      <w:szCs w:val="20"/>
    </w:rPr>
  </w:style>
  <w:style w:type="character" w:customStyle="1" w:styleId="CommentaireCar">
    <w:name w:val="Commentaire Car"/>
    <w:basedOn w:val="Policepardfaut"/>
    <w:link w:val="Commentaire"/>
    <w:uiPriority w:val="99"/>
    <w:rsid w:val="00F57A27"/>
    <w:rPr>
      <w:rFonts w:ascii="Times New Roman" w:eastAsia="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unhideWhenUsed/>
    <w:rsid w:val="00F57A27"/>
    <w:rPr>
      <w:b/>
      <w:bCs/>
    </w:rPr>
  </w:style>
  <w:style w:type="character" w:customStyle="1" w:styleId="ObjetducommentaireCar">
    <w:name w:val="Objet du commentaire Car"/>
    <w:basedOn w:val="CommentaireCar"/>
    <w:link w:val="Objetducommentaire"/>
    <w:uiPriority w:val="99"/>
    <w:semiHidden/>
    <w:rsid w:val="00F57A27"/>
    <w:rPr>
      <w:rFonts w:ascii="Times New Roman" w:eastAsia="Times New Roman" w:hAnsi="Times New Roman" w:cs="Times New Roman"/>
      <w:b/>
      <w:bCs/>
      <w:sz w:val="20"/>
      <w:szCs w:val="20"/>
    </w:rPr>
  </w:style>
  <w:style w:type="paragraph" w:styleId="Notedebasdepage">
    <w:name w:val="footnote text"/>
    <w:basedOn w:val="Normal"/>
    <w:link w:val="NotedebasdepageCar"/>
    <w:uiPriority w:val="99"/>
    <w:semiHidden/>
    <w:unhideWhenUsed/>
    <w:rsid w:val="00112FCD"/>
    <w:rPr>
      <w:sz w:val="20"/>
      <w:szCs w:val="20"/>
    </w:rPr>
  </w:style>
  <w:style w:type="character" w:customStyle="1" w:styleId="NotedebasdepageCar">
    <w:name w:val="Note de bas de page Car"/>
    <w:basedOn w:val="Policepardfaut"/>
    <w:link w:val="Notedebasdepage"/>
    <w:uiPriority w:val="99"/>
    <w:semiHidden/>
    <w:rsid w:val="00112FCD"/>
    <w:rPr>
      <w:rFonts w:ascii="Times New Roman" w:eastAsia="Times New Roman" w:hAnsi="Times New Roman" w:cs="Times New Roman"/>
      <w:sz w:val="20"/>
      <w:szCs w:val="20"/>
    </w:rPr>
  </w:style>
  <w:style w:type="character" w:styleId="Appelnotedebasdep">
    <w:name w:val="footnote reference"/>
    <w:basedOn w:val="Policepardfaut"/>
    <w:uiPriority w:val="99"/>
    <w:semiHidden/>
    <w:unhideWhenUsed/>
    <w:rsid w:val="00112FCD"/>
    <w:rPr>
      <w:vertAlign w:val="superscript"/>
    </w:rPr>
  </w:style>
  <w:style w:type="paragraph" w:customStyle="1" w:styleId="Heading1URRC">
    <w:name w:val="Heading 1_URRC"/>
    <w:next w:val="Normal"/>
    <w:uiPriority w:val="1"/>
    <w:qFormat/>
    <w:rsid w:val="006E6F6F"/>
    <w:pPr>
      <w:numPr>
        <w:numId w:val="6"/>
      </w:numPr>
      <w:spacing w:after="240"/>
      <w:outlineLvl w:val="0"/>
    </w:pPr>
    <w:rPr>
      <w:rFonts w:ascii="Times New Roman Bold" w:eastAsia="Times New Roman" w:hAnsi="Times New Roman Bold" w:cs="Times New Roman"/>
      <w:b/>
      <w:caps/>
      <w:sz w:val="24"/>
    </w:rPr>
  </w:style>
  <w:style w:type="paragraph" w:customStyle="1" w:styleId="Heading2URRC">
    <w:name w:val="Heading 2_URRC"/>
    <w:basedOn w:val="Heading1URRC"/>
    <w:next w:val="Normal"/>
    <w:uiPriority w:val="1"/>
    <w:qFormat/>
    <w:rsid w:val="00A20183"/>
    <w:pPr>
      <w:keepNext/>
      <w:keepLines/>
      <w:widowControl/>
      <w:numPr>
        <w:ilvl w:val="1"/>
      </w:numPr>
      <w:spacing w:before="240"/>
    </w:pPr>
  </w:style>
  <w:style w:type="paragraph" w:customStyle="1" w:styleId="Heading3URRC">
    <w:name w:val="Heading 3_URRC"/>
    <w:basedOn w:val="Heading2URRC"/>
    <w:next w:val="Normal"/>
    <w:uiPriority w:val="1"/>
    <w:qFormat/>
    <w:rsid w:val="001542A4"/>
    <w:pPr>
      <w:numPr>
        <w:ilvl w:val="2"/>
      </w:numPr>
    </w:pPr>
  </w:style>
  <w:style w:type="numbering" w:customStyle="1" w:styleId="HeadingsURRC">
    <w:name w:val="Headings_URRC"/>
    <w:uiPriority w:val="99"/>
    <w:rsid w:val="00261044"/>
    <w:pPr>
      <w:numPr>
        <w:numId w:val="6"/>
      </w:numPr>
    </w:pPr>
  </w:style>
  <w:style w:type="table" w:styleId="Grilledutableau">
    <w:name w:val="Table Grid"/>
    <w:basedOn w:val="TableauNormal"/>
    <w:uiPriority w:val="59"/>
    <w:unhideWhenUsed/>
    <w:rsid w:val="00F531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97441C"/>
    <w:pPr>
      <w:tabs>
        <w:tab w:val="center" w:pos="4680"/>
        <w:tab w:val="right" w:pos="9360"/>
      </w:tabs>
    </w:pPr>
  </w:style>
  <w:style w:type="character" w:customStyle="1" w:styleId="En-tteCar">
    <w:name w:val="En-tête Car"/>
    <w:basedOn w:val="Policepardfaut"/>
    <w:link w:val="En-tte"/>
    <w:uiPriority w:val="99"/>
    <w:rsid w:val="0097441C"/>
    <w:rPr>
      <w:rFonts w:ascii="Times New Roman" w:eastAsia="Times New Roman" w:hAnsi="Times New Roman" w:cs="Times New Roman"/>
    </w:rPr>
  </w:style>
  <w:style w:type="paragraph" w:styleId="Pieddepage">
    <w:name w:val="footer"/>
    <w:basedOn w:val="Normal"/>
    <w:link w:val="PieddepageCar"/>
    <w:uiPriority w:val="99"/>
    <w:unhideWhenUsed/>
    <w:rsid w:val="0097441C"/>
    <w:pPr>
      <w:tabs>
        <w:tab w:val="center" w:pos="4680"/>
        <w:tab w:val="right" w:pos="9360"/>
      </w:tabs>
    </w:pPr>
  </w:style>
  <w:style w:type="character" w:customStyle="1" w:styleId="PieddepageCar">
    <w:name w:val="Pied de page Car"/>
    <w:basedOn w:val="Policepardfaut"/>
    <w:link w:val="Pieddepage"/>
    <w:uiPriority w:val="99"/>
    <w:rsid w:val="0097441C"/>
    <w:rPr>
      <w:rFonts w:ascii="Times New Roman" w:eastAsia="Times New Roman" w:hAnsi="Times New Roman" w:cs="Times New Roman"/>
    </w:rPr>
  </w:style>
  <w:style w:type="character" w:customStyle="1" w:styleId="Titre3Car">
    <w:name w:val="Titre 3 Car"/>
    <w:basedOn w:val="Policepardfaut"/>
    <w:link w:val="Titre3"/>
    <w:uiPriority w:val="9"/>
    <w:semiHidden/>
    <w:rsid w:val="00F07B0A"/>
    <w:rPr>
      <w:rFonts w:asciiTheme="majorHAnsi" w:eastAsiaTheme="majorEastAsia" w:hAnsiTheme="majorHAnsi" w:cstheme="majorBidi"/>
      <w:color w:val="243F60" w:themeColor="accent1" w:themeShade="7F"/>
      <w:sz w:val="24"/>
      <w:szCs w:val="24"/>
    </w:rPr>
  </w:style>
  <w:style w:type="character" w:styleId="Lienhypertexte">
    <w:name w:val="Hyperlink"/>
    <w:basedOn w:val="Policepardfaut"/>
    <w:uiPriority w:val="99"/>
    <w:unhideWhenUsed/>
    <w:rsid w:val="00F07B0A"/>
    <w:rPr>
      <w:color w:val="0000FF" w:themeColor="hyperlink"/>
      <w:u w:val="single"/>
    </w:rPr>
  </w:style>
  <w:style w:type="paragraph" w:styleId="TM3">
    <w:name w:val="toc 3"/>
    <w:basedOn w:val="Normal"/>
    <w:next w:val="Normal"/>
    <w:autoRedefine/>
    <w:uiPriority w:val="39"/>
    <w:unhideWhenUsed/>
    <w:rsid w:val="00E469FB"/>
    <w:pPr>
      <w:spacing w:after="100"/>
      <w:ind w:left="1296" w:hanging="720"/>
    </w:pPr>
  </w:style>
  <w:style w:type="paragraph" w:styleId="Rvision">
    <w:name w:val="Revision"/>
    <w:hidden/>
    <w:uiPriority w:val="99"/>
    <w:semiHidden/>
    <w:rsid w:val="00E72D8E"/>
    <w:pPr>
      <w:widowControl/>
      <w:autoSpaceDE/>
      <w:autoSpaceDN/>
    </w:pPr>
    <w:rPr>
      <w:rFonts w:ascii="Times New Roman" w:eastAsia="Times New Roman" w:hAnsi="Times New Roman" w:cs="Times New Roman"/>
    </w:rPr>
  </w:style>
  <w:style w:type="character" w:customStyle="1" w:styleId="CorpsdetexteCar">
    <w:name w:val="Corps de texte Car"/>
    <w:basedOn w:val="Policepardfaut"/>
    <w:link w:val="Corpsdetexte"/>
    <w:uiPriority w:val="1"/>
    <w:rsid w:val="00144A6D"/>
    <w:rPr>
      <w:rFonts w:ascii="Times New Roman" w:eastAsia="Times New Roman" w:hAnsi="Times New Roman" w:cs="Times New Roman"/>
      <w:sz w:val="24"/>
      <w:szCs w:val="24"/>
    </w:rPr>
  </w:style>
  <w:style w:type="paragraph" w:customStyle="1" w:styleId="QECTableCaption">
    <w:name w:val="QEC Table Caption"/>
    <w:basedOn w:val="Normal"/>
    <w:rsid w:val="007A57A6"/>
    <w:pPr>
      <w:widowControl/>
      <w:autoSpaceDE/>
      <w:autoSpaceDN/>
      <w:spacing w:after="240" w:line="480" w:lineRule="auto"/>
      <w:jc w:val="center"/>
    </w:pPr>
    <w:rPr>
      <w:rFonts w:ascii="Arial" w:hAnsi="Arial" w:cs="Arial"/>
      <w:b/>
      <w:bCs/>
      <w:sz w:val="24"/>
      <w:szCs w:val="24"/>
      <w:lang w:val="en-CA"/>
    </w:rPr>
  </w:style>
  <w:style w:type="paragraph" w:customStyle="1" w:styleId="QECSchedule">
    <w:name w:val="QEC Schedule"/>
    <w:basedOn w:val="Normal"/>
    <w:qFormat/>
    <w:rsid w:val="00B1607C"/>
    <w:pPr>
      <w:widowControl/>
      <w:autoSpaceDE/>
      <w:autoSpaceDN/>
      <w:spacing w:after="240" w:line="480" w:lineRule="auto"/>
      <w:jc w:val="center"/>
    </w:pPr>
    <w:rPr>
      <w:rFonts w:ascii="Arial" w:hAnsi="Arial" w:cs="Arial"/>
      <w:b/>
      <w:bCs/>
      <w:sz w:val="24"/>
      <w:szCs w:val="24"/>
      <w:lang w:val="en-CA"/>
    </w:rPr>
  </w:style>
  <w:style w:type="character" w:customStyle="1" w:styleId="UnresolvedMention1">
    <w:name w:val="Unresolved Mention1"/>
    <w:basedOn w:val="Policepardfaut"/>
    <w:uiPriority w:val="99"/>
    <w:semiHidden/>
    <w:unhideWhenUsed/>
    <w:rsid w:val="00AE48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eader" Target="header4.xml"/><Relationship Id="rId34" Type="http://schemas.openxmlformats.org/officeDocument/2006/relationships/header" Target="header10.xm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eader" Target="header7.xml"/><Relationship Id="rId11" Type="http://schemas.openxmlformats.org/officeDocument/2006/relationships/image" Target="media/image1.jpeg"/><Relationship Id="rId24" Type="http://schemas.openxmlformats.org/officeDocument/2006/relationships/image" Target="media/image5.png"/><Relationship Id="rId32" Type="http://schemas.openxmlformats.org/officeDocument/2006/relationships/header" Target="header9.xml"/><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5.jpeg"/><Relationship Id="rId19" Type="http://schemas.openxmlformats.org/officeDocument/2006/relationships/footer" Target="footer2.xml"/><Relationship Id="rId14" Type="http://schemas.openxmlformats.org/officeDocument/2006/relationships/hyperlink" Target="http://www.URRC.gov.nu.ca/"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8" Type="http://schemas.openxmlformats.org/officeDocument/2006/relationships/webSettings" Target="webSettings.xml"/><Relationship Id="rId51" Type="http://schemas.openxmlformats.org/officeDocument/2006/relationships/image" Target="media/image25.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20" Type="http://schemas.openxmlformats.org/officeDocument/2006/relationships/header" Target="header3.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4.png"/><Relationship Id="rId28" Type="http://schemas.openxmlformats.org/officeDocument/2006/relationships/header" Target="header6.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URRC@gov.nu.ca" TargetMode="External"/><Relationship Id="rId18" Type="http://schemas.openxmlformats.org/officeDocument/2006/relationships/header" Target="header2.xml"/><Relationship Id="rId3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7CFA5FBEE1EB740AAE3CFD73A5834B5" ma:contentTypeVersion="8" ma:contentTypeDescription="Create a new document." ma:contentTypeScope="" ma:versionID="7471217a0366282f34cd9a389eeb1363">
  <xsd:schema xmlns:xsd="http://www.w3.org/2001/XMLSchema" xmlns:xs="http://www.w3.org/2001/XMLSchema" xmlns:p="http://schemas.microsoft.com/office/2006/metadata/properties" xmlns:ns3="9df6d8c2-fa49-438b-874a-d2ee37d691e0" targetNamespace="http://schemas.microsoft.com/office/2006/metadata/properties" ma:root="true" ma:fieldsID="d2f394c36790de7d0dcb7101b76f1379" ns3:_="">
    <xsd:import namespace="9df6d8c2-fa49-438b-874a-d2ee37d691e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f6d8c2-fa49-438b-874a-d2ee37d691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39E1E7-6FAD-48C1-819F-7351C5E57A72}">
  <ds:schemaRefs>
    <ds:schemaRef ds:uri="http://schemas.microsoft.com/sharepoint/v3/contenttype/forms"/>
  </ds:schemaRefs>
</ds:datastoreItem>
</file>

<file path=customXml/itemProps2.xml><?xml version="1.0" encoding="utf-8"?>
<ds:datastoreItem xmlns:ds="http://schemas.openxmlformats.org/officeDocument/2006/customXml" ds:itemID="{F9789B0E-B9B8-499D-9A68-F9DB5C651A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f6d8c2-fa49-438b-874a-d2ee37d691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48CF143-E106-4645-B1EB-AC3F65C4CC2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B8A3B1B-7908-4859-9E08-AF228FD8A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49</Pages>
  <Words>17909</Words>
  <Characters>98504</Characters>
  <Application>Microsoft Office Word</Application>
  <DocSecurity>0</DocSecurity>
  <Lines>820</Lines>
  <Paragraphs>232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116181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Wade Vienneau</dc:creator>
  <cp:lastModifiedBy>Pilar Calderon</cp:lastModifiedBy>
  <cp:revision>4</cp:revision>
  <cp:lastPrinted>2022-07-28T23:29:00Z</cp:lastPrinted>
  <dcterms:created xsi:type="dcterms:W3CDTF">2022-12-07T17:29:00Z</dcterms:created>
  <dcterms:modified xsi:type="dcterms:W3CDTF">2022-12-08T13:11:00Z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0x01010077CFA5FBEE1EB740AAE3CFD73A5834B5</vt:lpwstr>
  </property>
  <property fmtid="{D5CDD505-2E9C-101B-9397-08002B2CF9AE}" pid="3" name="Created">
    <vt:filetime>2020-02-05T00:00:00Z</vt:filetime>
  </property>
  <property fmtid="{D5CDD505-2E9C-101B-9397-08002B2CF9AE}" pid="4" name="Creator">
    <vt:lpwstr>Acrobat PDFMaker 11 for Word</vt:lpwstr>
  </property>
  <property fmtid="{D5CDD505-2E9C-101B-9397-08002B2CF9AE}" pid="5" name="LastSaved">
    <vt:filetime>2021-06-21T00:00:00Z</vt:filetime>
  </property>
</Properties>
</file>